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F5302FD" w14:textId="2087CB62" w:rsidR="00420A38" w:rsidRPr="00687C41" w:rsidRDefault="00687C41" w:rsidP="00BF32F0">
      <w:pPr>
        <w:pStyle w:val="Header"/>
        <w:tabs>
          <w:tab w:val="clear" w:pos="9639"/>
          <w:tab w:val="right" w:pos="5954"/>
        </w:tabs>
        <w:spacing w:after="240"/>
        <w:rPr>
          <w:rFonts w:ascii="Calibri" w:hAnsi="Calibri"/>
        </w:rPr>
      </w:pPr>
      <w:r>
        <w:rPr>
          <w:rFonts w:ascii="Calibri" w:hAnsi="Calibri"/>
          <w:noProof/>
          <w:lang w:val="en-IE" w:eastAsia="en-IE"/>
        </w:rPr>
        <w:drawing>
          <wp:inline distT="0" distB="0" distL="0" distR="0" wp14:anchorId="1E58E731" wp14:editId="4F00D6FE">
            <wp:extent cx="542403" cy="528637"/>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ALA_LogoVerti_RGB-1.png"/>
                    <pic:cNvPicPr/>
                  </pic:nvPicPr>
                  <pic:blipFill>
                    <a:blip r:embed="rId8">
                      <a:extLst>
                        <a:ext uri="{28A0092B-C50C-407E-A947-70E740481C1C}">
                          <a14:useLocalDpi xmlns:a14="http://schemas.microsoft.com/office/drawing/2010/main" val="0"/>
                        </a:ext>
                      </a:extLst>
                    </a:blip>
                    <a:stretch>
                      <a:fillRect/>
                    </a:stretch>
                  </pic:blipFill>
                  <pic:spPr>
                    <a:xfrm>
                      <a:off x="0" y="0"/>
                      <a:ext cx="548572" cy="534650"/>
                    </a:xfrm>
                    <a:prstGeom prst="rect">
                      <a:avLst/>
                    </a:prstGeom>
                  </pic:spPr>
                </pic:pic>
              </a:graphicData>
            </a:graphic>
          </wp:inline>
        </w:drawing>
      </w:r>
      <w:r w:rsidR="00420A38" w:rsidRPr="00687C41">
        <w:rPr>
          <w:rFonts w:ascii="Calibri" w:hAnsi="Calibri"/>
        </w:rPr>
        <w:tab/>
      </w:r>
      <w:r w:rsidR="00420A38" w:rsidRPr="00687C41">
        <w:rPr>
          <w:rFonts w:ascii="Calibri" w:hAnsi="Calibri"/>
        </w:rPr>
        <w:tab/>
      </w:r>
      <w:r w:rsidR="00420A38" w:rsidRPr="00687C41">
        <w:rPr>
          <w:rFonts w:ascii="Calibri" w:hAnsi="Calibri"/>
        </w:rPr>
        <w:tab/>
        <w:t>Input paper</w:t>
      </w:r>
      <w:r w:rsidR="00037DF4" w:rsidRPr="00687C41">
        <w:rPr>
          <w:rFonts w:ascii="Calibri" w:hAnsi="Calibri"/>
        </w:rPr>
        <w:t xml:space="preserve">: </w:t>
      </w:r>
      <w:r w:rsidR="00420A38" w:rsidRPr="00687C41">
        <w:rPr>
          <w:rStyle w:val="FootnoteReference"/>
          <w:rFonts w:ascii="Calibri" w:hAnsi="Calibri"/>
          <w:sz w:val="22"/>
          <w:vertAlign w:val="superscript"/>
        </w:rPr>
        <w:footnoteReference w:id="1"/>
      </w:r>
      <w:r w:rsidR="00420A38" w:rsidRPr="00687C41">
        <w:rPr>
          <w:rFonts w:ascii="Calibri" w:hAnsi="Calibri"/>
        </w:rPr>
        <w:tab/>
      </w:r>
      <w:r w:rsidR="00110AE7" w:rsidRPr="00687C41">
        <w:rPr>
          <w:rFonts w:ascii="Calibri" w:hAnsi="Calibri"/>
        </w:rPr>
        <w:t xml:space="preserve">     </w:t>
      </w:r>
      <w:r w:rsidR="00367F7E">
        <w:rPr>
          <w:rFonts w:ascii="Calibri" w:hAnsi="Calibri"/>
        </w:rPr>
        <w:t>ENG4</w:t>
      </w:r>
      <w:bookmarkStart w:id="0" w:name="_GoBack"/>
      <w:bookmarkEnd w:id="0"/>
      <w:r>
        <w:rPr>
          <w:rFonts w:ascii="Calibri" w:hAnsi="Calibri"/>
        </w:rPr>
        <w:t>-9.15</w:t>
      </w:r>
    </w:p>
    <w:p w14:paraId="5A14DE03" w14:textId="77777777" w:rsidR="00BF32F0" w:rsidRPr="00687C41" w:rsidRDefault="00BF32F0" w:rsidP="00FE5674">
      <w:pPr>
        <w:pStyle w:val="BodyText"/>
        <w:tabs>
          <w:tab w:val="left" w:pos="2835"/>
        </w:tabs>
        <w:rPr>
          <w:rFonts w:ascii="Calibri" w:hAnsi="Calibri"/>
        </w:rPr>
      </w:pPr>
    </w:p>
    <w:p w14:paraId="370CFB53" w14:textId="0056C39C" w:rsidR="0080294B" w:rsidRPr="00687C41" w:rsidRDefault="00E558C3" w:rsidP="00FE5674">
      <w:pPr>
        <w:pStyle w:val="BodyText"/>
        <w:tabs>
          <w:tab w:val="left" w:pos="2835"/>
        </w:tabs>
        <w:rPr>
          <w:rFonts w:ascii="Calibri" w:hAnsi="Calibri"/>
        </w:rPr>
      </w:pPr>
      <w:r w:rsidRPr="00687C41">
        <w:rPr>
          <w:rFonts w:ascii="Calibri" w:hAnsi="Calibri"/>
        </w:rPr>
        <w:t xml:space="preserve">Input paper for the following Committee(s): </w:t>
      </w:r>
      <w:r w:rsidRPr="00687C41">
        <w:rPr>
          <w:rFonts w:ascii="Calibri" w:hAnsi="Calibri"/>
        </w:rPr>
        <w:tab/>
      </w:r>
      <w:r w:rsidRPr="00687C41">
        <w:rPr>
          <w:rFonts w:ascii="Calibri" w:hAnsi="Calibri"/>
          <w:sz w:val="18"/>
          <w:szCs w:val="18"/>
        </w:rPr>
        <w:t>check as appropriate</w:t>
      </w:r>
      <w:r w:rsidRPr="00687C41">
        <w:rPr>
          <w:rFonts w:ascii="Calibri" w:hAnsi="Calibri"/>
          <w:sz w:val="18"/>
          <w:szCs w:val="18"/>
        </w:rPr>
        <w:tab/>
      </w:r>
      <w:r w:rsidRPr="00687C41">
        <w:rPr>
          <w:rFonts w:ascii="Calibri" w:hAnsi="Calibri"/>
        </w:rPr>
        <w:tab/>
        <w:t>Purpose of paper:</w:t>
      </w:r>
    </w:p>
    <w:p w14:paraId="78786733" w14:textId="2455B6E0" w:rsidR="0080294B" w:rsidRPr="00687C41" w:rsidRDefault="0080294B" w:rsidP="00037DF4">
      <w:pPr>
        <w:pStyle w:val="BodyText"/>
        <w:tabs>
          <w:tab w:val="left" w:pos="1843"/>
        </w:tabs>
        <w:rPr>
          <w:rFonts w:ascii="Calibri" w:hAnsi="Calibri" w:cs="Arial"/>
          <w:b/>
          <w:sz w:val="24"/>
          <w:szCs w:val="24"/>
        </w:rPr>
      </w:pPr>
      <w:proofErr w:type="gramStart"/>
      <w:r w:rsidRPr="00687C41">
        <w:rPr>
          <w:rFonts w:ascii="Calibri" w:hAnsi="Calibri" w:cs="Arial"/>
          <w:b/>
          <w:sz w:val="24"/>
          <w:szCs w:val="24"/>
        </w:rPr>
        <w:t>□</w:t>
      </w:r>
      <w:r w:rsidRPr="00687C41">
        <w:rPr>
          <w:rFonts w:ascii="Calibri" w:hAnsi="Calibri" w:cs="Arial"/>
          <w:sz w:val="24"/>
          <w:szCs w:val="24"/>
        </w:rPr>
        <w:t xml:space="preserve">  </w:t>
      </w:r>
      <w:r w:rsidRPr="00687C41">
        <w:rPr>
          <w:rFonts w:ascii="Calibri" w:hAnsi="Calibri" w:cs="Arial"/>
        </w:rPr>
        <w:t>ARM</w:t>
      </w:r>
      <w:proofErr w:type="gramEnd"/>
      <w:r w:rsidR="00037DF4" w:rsidRPr="00687C41">
        <w:rPr>
          <w:rFonts w:ascii="Calibri" w:hAnsi="Calibri" w:cs="Arial"/>
        </w:rPr>
        <w:tab/>
      </w:r>
      <w:r w:rsidR="00945C17" w:rsidRPr="00687C41">
        <w:rPr>
          <w:rFonts w:ascii="Calibri" w:hAnsi="Calibri" w:cs="Arial"/>
          <w:b/>
        </w:rPr>
        <w:t>X</w:t>
      </w:r>
      <w:r w:rsidRPr="00687C41">
        <w:rPr>
          <w:rFonts w:ascii="Calibri" w:hAnsi="Calibri" w:cs="Arial"/>
          <w:sz w:val="24"/>
          <w:szCs w:val="24"/>
        </w:rPr>
        <w:t xml:space="preserve">  </w:t>
      </w:r>
      <w:r w:rsidRPr="00687C41">
        <w:rPr>
          <w:rFonts w:ascii="Calibri" w:hAnsi="Calibri" w:cs="Arial"/>
        </w:rPr>
        <w:t>ENG</w:t>
      </w:r>
      <w:r w:rsidRPr="00687C41">
        <w:rPr>
          <w:rFonts w:ascii="Calibri" w:hAnsi="Calibri" w:cs="Arial"/>
        </w:rPr>
        <w:tab/>
      </w:r>
      <w:r w:rsidRPr="00687C41">
        <w:rPr>
          <w:rFonts w:ascii="Calibri" w:hAnsi="Calibri" w:cs="Arial"/>
        </w:rPr>
        <w:tab/>
      </w:r>
      <w:r w:rsidRPr="00687C41">
        <w:rPr>
          <w:rFonts w:ascii="Calibri" w:hAnsi="Calibri" w:cs="Arial"/>
          <w:b/>
          <w:sz w:val="24"/>
          <w:szCs w:val="24"/>
        </w:rPr>
        <w:t>□</w:t>
      </w:r>
      <w:r w:rsidRPr="00687C41">
        <w:rPr>
          <w:rFonts w:ascii="Calibri" w:hAnsi="Calibri" w:cs="Arial"/>
          <w:sz w:val="24"/>
          <w:szCs w:val="24"/>
        </w:rPr>
        <w:t xml:space="preserve">  </w:t>
      </w:r>
      <w:r w:rsidRPr="00687C41">
        <w:rPr>
          <w:rFonts w:ascii="Calibri" w:hAnsi="Calibri" w:cs="Arial"/>
        </w:rPr>
        <w:t>PAP</w:t>
      </w:r>
      <w:r w:rsidRPr="00687C41">
        <w:rPr>
          <w:rFonts w:ascii="Calibri" w:hAnsi="Calibri" w:cs="Arial"/>
          <w:sz w:val="24"/>
          <w:szCs w:val="24"/>
        </w:rPr>
        <w:tab/>
      </w:r>
      <w:r w:rsidRPr="00687C41">
        <w:rPr>
          <w:rFonts w:ascii="Calibri" w:hAnsi="Calibri" w:cs="Arial"/>
          <w:sz w:val="24"/>
          <w:szCs w:val="24"/>
        </w:rPr>
        <w:tab/>
      </w:r>
      <w:r w:rsidR="00037DF4" w:rsidRPr="00687C41">
        <w:rPr>
          <w:rFonts w:ascii="Calibri" w:hAnsi="Calibri" w:cs="Arial"/>
          <w:sz w:val="24"/>
          <w:szCs w:val="24"/>
        </w:rPr>
        <w:tab/>
      </w:r>
      <w:r w:rsidR="00037DF4" w:rsidRPr="00687C41">
        <w:rPr>
          <w:rFonts w:ascii="Calibri" w:hAnsi="Calibri" w:cs="Arial"/>
          <w:sz w:val="24"/>
          <w:szCs w:val="24"/>
        </w:rPr>
        <w:tab/>
      </w:r>
      <w:r w:rsidR="00037DF4" w:rsidRPr="00687C41">
        <w:rPr>
          <w:rFonts w:ascii="Calibri" w:hAnsi="Calibri" w:cs="Arial"/>
          <w:sz w:val="24"/>
          <w:szCs w:val="24"/>
        </w:rPr>
        <w:tab/>
      </w:r>
      <w:r w:rsidR="00822C6A" w:rsidRPr="00687C41">
        <w:rPr>
          <w:rFonts w:ascii="Calibri" w:hAnsi="Calibri" w:cs="Arial"/>
          <w:b/>
          <w:sz w:val="24"/>
          <w:szCs w:val="24"/>
        </w:rPr>
        <w:t>X</w:t>
      </w:r>
      <w:r w:rsidRPr="00687C41">
        <w:rPr>
          <w:rFonts w:ascii="Calibri" w:hAnsi="Calibri" w:cs="Arial"/>
          <w:sz w:val="24"/>
          <w:szCs w:val="24"/>
        </w:rPr>
        <w:t xml:space="preserve">  Input</w:t>
      </w:r>
    </w:p>
    <w:p w14:paraId="0BC79547" w14:textId="06A4F020" w:rsidR="0080294B" w:rsidRPr="00687C41" w:rsidRDefault="0080294B" w:rsidP="00037DF4">
      <w:pPr>
        <w:pStyle w:val="BodyText"/>
        <w:tabs>
          <w:tab w:val="left" w:pos="1843"/>
        </w:tabs>
        <w:rPr>
          <w:rFonts w:ascii="Calibri" w:hAnsi="Calibri"/>
        </w:rPr>
      </w:pPr>
      <w:proofErr w:type="gramStart"/>
      <w:r w:rsidRPr="00687C41">
        <w:rPr>
          <w:rFonts w:ascii="Calibri" w:hAnsi="Calibri" w:cs="Arial"/>
          <w:b/>
          <w:sz w:val="24"/>
          <w:szCs w:val="24"/>
        </w:rPr>
        <w:t>□</w:t>
      </w:r>
      <w:r w:rsidRPr="00687C41">
        <w:rPr>
          <w:rFonts w:ascii="Calibri" w:hAnsi="Calibri" w:cs="Arial"/>
          <w:sz w:val="24"/>
          <w:szCs w:val="24"/>
        </w:rPr>
        <w:t xml:space="preserve">  </w:t>
      </w:r>
      <w:r w:rsidRPr="00687C41">
        <w:rPr>
          <w:rFonts w:ascii="Calibri" w:hAnsi="Calibri" w:cs="Arial"/>
        </w:rPr>
        <w:t>ENAV</w:t>
      </w:r>
      <w:proofErr w:type="gramEnd"/>
      <w:r w:rsidRPr="00687C41">
        <w:rPr>
          <w:rFonts w:ascii="Calibri" w:hAnsi="Calibri" w:cs="Arial"/>
          <w:b/>
          <w:sz w:val="24"/>
          <w:szCs w:val="24"/>
        </w:rPr>
        <w:tab/>
        <w:t>□</w:t>
      </w:r>
      <w:r w:rsidRPr="00687C41">
        <w:rPr>
          <w:rFonts w:ascii="Calibri" w:hAnsi="Calibri" w:cs="Arial"/>
          <w:sz w:val="24"/>
          <w:szCs w:val="24"/>
        </w:rPr>
        <w:t xml:space="preserve">  </w:t>
      </w:r>
      <w:r w:rsidR="003D2DC1" w:rsidRPr="00687C41">
        <w:rPr>
          <w:rFonts w:ascii="Calibri" w:hAnsi="Calibri" w:cs="Arial"/>
        </w:rPr>
        <w:t>VTS</w:t>
      </w:r>
      <w:r w:rsidRPr="00687C41">
        <w:rPr>
          <w:rFonts w:ascii="Calibri" w:hAnsi="Calibri" w:cs="Arial"/>
          <w:sz w:val="24"/>
          <w:szCs w:val="24"/>
        </w:rPr>
        <w:tab/>
      </w:r>
      <w:r w:rsidRPr="00687C41">
        <w:rPr>
          <w:rFonts w:ascii="Calibri" w:hAnsi="Calibri" w:cs="Arial"/>
          <w:sz w:val="24"/>
          <w:szCs w:val="24"/>
        </w:rPr>
        <w:tab/>
      </w:r>
      <w:r w:rsidRPr="00687C41">
        <w:rPr>
          <w:rFonts w:ascii="Calibri" w:hAnsi="Calibri" w:cs="Arial"/>
          <w:sz w:val="24"/>
          <w:szCs w:val="24"/>
        </w:rPr>
        <w:tab/>
      </w:r>
      <w:r w:rsidRPr="00687C41">
        <w:rPr>
          <w:rFonts w:ascii="Calibri" w:hAnsi="Calibri" w:cs="Arial"/>
          <w:sz w:val="24"/>
          <w:szCs w:val="24"/>
        </w:rPr>
        <w:tab/>
      </w:r>
      <w:r w:rsidRPr="00687C41">
        <w:rPr>
          <w:rFonts w:ascii="Calibri" w:hAnsi="Calibri" w:cs="Arial"/>
          <w:sz w:val="24"/>
          <w:szCs w:val="24"/>
        </w:rPr>
        <w:tab/>
      </w:r>
      <w:r w:rsidR="00037DF4" w:rsidRPr="00687C41">
        <w:rPr>
          <w:rFonts w:ascii="Calibri" w:hAnsi="Calibri" w:cs="Arial"/>
          <w:sz w:val="24"/>
          <w:szCs w:val="24"/>
        </w:rPr>
        <w:tab/>
      </w:r>
      <w:r w:rsidR="00037DF4" w:rsidRPr="00687C41">
        <w:rPr>
          <w:rFonts w:ascii="Calibri" w:hAnsi="Calibri" w:cs="Arial"/>
          <w:sz w:val="24"/>
          <w:szCs w:val="24"/>
        </w:rPr>
        <w:tab/>
      </w:r>
      <w:r w:rsidRPr="00687C41">
        <w:rPr>
          <w:rFonts w:ascii="Calibri" w:hAnsi="Calibri" w:cs="Arial"/>
          <w:b/>
          <w:sz w:val="24"/>
          <w:szCs w:val="24"/>
        </w:rPr>
        <w:t>□</w:t>
      </w:r>
      <w:r w:rsidRPr="00687C41">
        <w:rPr>
          <w:rFonts w:ascii="Calibri" w:hAnsi="Calibri" w:cs="Arial"/>
          <w:sz w:val="24"/>
          <w:szCs w:val="24"/>
        </w:rPr>
        <w:t xml:space="preserve">  Information</w:t>
      </w:r>
    </w:p>
    <w:p w14:paraId="3E1C02C4" w14:textId="77777777" w:rsidR="0080294B" w:rsidRPr="00687C41" w:rsidRDefault="0080294B" w:rsidP="00FE5674">
      <w:pPr>
        <w:pStyle w:val="BodyText"/>
        <w:tabs>
          <w:tab w:val="left" w:pos="2835"/>
        </w:tabs>
        <w:rPr>
          <w:rFonts w:ascii="Calibri" w:hAnsi="Calibri"/>
        </w:rPr>
      </w:pPr>
    </w:p>
    <w:p w14:paraId="4DD25FD9" w14:textId="6AFFE835" w:rsidR="00A446C9" w:rsidRPr="00687C41" w:rsidRDefault="00A446C9" w:rsidP="00FE5674">
      <w:pPr>
        <w:pStyle w:val="BodyText"/>
        <w:tabs>
          <w:tab w:val="left" w:pos="2835"/>
        </w:tabs>
        <w:rPr>
          <w:rFonts w:ascii="Calibri" w:hAnsi="Calibri"/>
        </w:rPr>
      </w:pPr>
      <w:r w:rsidRPr="00687C41">
        <w:rPr>
          <w:rFonts w:ascii="Calibri" w:hAnsi="Calibri"/>
        </w:rPr>
        <w:t>Agenda item</w:t>
      </w:r>
      <w:r w:rsidR="00037DF4" w:rsidRPr="00687C41">
        <w:rPr>
          <w:rFonts w:ascii="Calibri" w:hAnsi="Calibri"/>
        </w:rPr>
        <w:t xml:space="preserve"> </w:t>
      </w:r>
      <w:r w:rsidR="00037DF4" w:rsidRPr="00687C41">
        <w:rPr>
          <w:rStyle w:val="FootnoteReference"/>
          <w:rFonts w:ascii="Calibri" w:hAnsi="Calibri"/>
          <w:sz w:val="22"/>
          <w:vertAlign w:val="superscript"/>
        </w:rPr>
        <w:footnoteReference w:id="2"/>
      </w:r>
      <w:r w:rsidR="001C44A3" w:rsidRPr="00687C41">
        <w:rPr>
          <w:rFonts w:ascii="Calibri" w:hAnsi="Calibri"/>
        </w:rPr>
        <w:tab/>
      </w:r>
      <w:r w:rsidR="0080294B" w:rsidRPr="00687C41">
        <w:rPr>
          <w:rFonts w:ascii="Calibri" w:hAnsi="Calibri"/>
        </w:rPr>
        <w:tab/>
      </w:r>
      <w:r w:rsidR="0080294B" w:rsidRPr="00687C41">
        <w:rPr>
          <w:rFonts w:ascii="Calibri" w:hAnsi="Calibri"/>
        </w:rPr>
        <w:tab/>
      </w:r>
      <w:r w:rsidR="00687C41">
        <w:rPr>
          <w:rFonts w:ascii="Calibri" w:hAnsi="Calibri"/>
        </w:rPr>
        <w:t>9</w:t>
      </w:r>
    </w:p>
    <w:p w14:paraId="1AB3E246" w14:textId="1534CDC5" w:rsidR="00A446C9" w:rsidRPr="00687C41" w:rsidRDefault="0080294B" w:rsidP="00FE5674">
      <w:pPr>
        <w:pStyle w:val="BodyText"/>
        <w:tabs>
          <w:tab w:val="left" w:pos="2835"/>
        </w:tabs>
        <w:rPr>
          <w:rFonts w:ascii="Calibri" w:hAnsi="Calibri"/>
        </w:rPr>
      </w:pPr>
      <w:r w:rsidRPr="00687C41">
        <w:rPr>
          <w:rFonts w:ascii="Calibri" w:hAnsi="Calibri"/>
        </w:rPr>
        <w:t xml:space="preserve">Technical Domain / </w:t>
      </w:r>
      <w:r w:rsidR="00A446C9" w:rsidRPr="00687C41">
        <w:rPr>
          <w:rFonts w:ascii="Calibri" w:hAnsi="Calibri"/>
        </w:rPr>
        <w:t>Task Number</w:t>
      </w:r>
      <w:r w:rsidR="00037DF4" w:rsidRPr="00687C41">
        <w:rPr>
          <w:rFonts w:ascii="Calibri" w:hAnsi="Calibri"/>
        </w:rPr>
        <w:t xml:space="preserve"> </w:t>
      </w:r>
      <w:r w:rsidR="00037DF4" w:rsidRPr="00687C41">
        <w:rPr>
          <w:rFonts w:ascii="Calibri" w:hAnsi="Calibri"/>
          <w:vertAlign w:val="superscript"/>
        </w:rPr>
        <w:t>2</w:t>
      </w:r>
      <w:r w:rsidR="001C44A3" w:rsidRPr="00687C41">
        <w:rPr>
          <w:rFonts w:ascii="Calibri" w:hAnsi="Calibri"/>
        </w:rPr>
        <w:tab/>
      </w:r>
      <w:r w:rsidR="004625A3" w:rsidRPr="00687C41">
        <w:rPr>
          <w:rFonts w:ascii="Calibri" w:hAnsi="Calibri"/>
        </w:rPr>
        <w:t xml:space="preserve">TD#1 - Light and vision physics, Visual Signalling </w:t>
      </w:r>
      <w:r w:rsidR="00A36457" w:rsidRPr="00687C41">
        <w:rPr>
          <w:rFonts w:ascii="Calibri" w:hAnsi="Calibri"/>
        </w:rPr>
        <w:t>/ 34</w:t>
      </w:r>
    </w:p>
    <w:p w14:paraId="01FC5420" w14:textId="425CEF3F" w:rsidR="00362CD9" w:rsidRPr="00687C41" w:rsidRDefault="00362CD9" w:rsidP="00FE5674">
      <w:pPr>
        <w:pStyle w:val="BodyText"/>
        <w:tabs>
          <w:tab w:val="left" w:pos="2835"/>
        </w:tabs>
        <w:rPr>
          <w:rFonts w:ascii="Calibri" w:hAnsi="Calibri"/>
          <w:color w:val="FF0000"/>
        </w:rPr>
      </w:pPr>
      <w:r w:rsidRPr="00687C41">
        <w:rPr>
          <w:rFonts w:ascii="Calibri" w:hAnsi="Calibri"/>
        </w:rPr>
        <w:t>Author(s)</w:t>
      </w:r>
      <w:r w:rsidR="00FE5674" w:rsidRPr="00687C41">
        <w:rPr>
          <w:rFonts w:ascii="Calibri" w:hAnsi="Calibri"/>
        </w:rPr>
        <w:t xml:space="preserve"> / Submitter(s)</w:t>
      </w:r>
      <w:r w:rsidRPr="00687C41">
        <w:rPr>
          <w:rFonts w:ascii="Calibri" w:hAnsi="Calibri"/>
        </w:rPr>
        <w:tab/>
      </w:r>
      <w:r w:rsidR="0080294B" w:rsidRPr="00687C41">
        <w:rPr>
          <w:rFonts w:ascii="Calibri" w:hAnsi="Calibri"/>
        </w:rPr>
        <w:tab/>
      </w:r>
      <w:r w:rsidR="0080294B" w:rsidRPr="00687C41">
        <w:rPr>
          <w:rFonts w:ascii="Calibri" w:hAnsi="Calibri"/>
        </w:rPr>
        <w:tab/>
      </w:r>
      <w:r w:rsidR="00945C17" w:rsidRPr="00687C41">
        <w:rPr>
          <w:rFonts w:ascii="Calibri" w:hAnsi="Calibri"/>
        </w:rPr>
        <w:t>Pärtel Keskküla</w:t>
      </w:r>
    </w:p>
    <w:p w14:paraId="60BCC120" w14:textId="77777777" w:rsidR="0080294B" w:rsidRPr="00687C41" w:rsidRDefault="0080294B" w:rsidP="00FE5674">
      <w:pPr>
        <w:pStyle w:val="BodyText"/>
        <w:tabs>
          <w:tab w:val="left" w:pos="2835"/>
        </w:tabs>
        <w:rPr>
          <w:rFonts w:ascii="Calibri" w:hAnsi="Calibri"/>
        </w:rPr>
      </w:pPr>
    </w:p>
    <w:p w14:paraId="4834080C" w14:textId="5D3F927E" w:rsidR="00A446C9" w:rsidRPr="00687C41" w:rsidRDefault="000C1F62" w:rsidP="00A446C9">
      <w:pPr>
        <w:pStyle w:val="Title"/>
        <w:rPr>
          <w:rFonts w:ascii="Calibri" w:hAnsi="Calibri"/>
          <w:color w:val="0070C0"/>
        </w:rPr>
      </w:pPr>
      <w:r w:rsidRPr="00687C41">
        <w:rPr>
          <w:rFonts w:ascii="Calibri" w:hAnsi="Calibri"/>
          <w:color w:val="0070C0"/>
        </w:rPr>
        <w:t>Aspects</w:t>
      </w:r>
      <w:r w:rsidR="00687C41">
        <w:rPr>
          <w:rFonts w:ascii="Calibri" w:hAnsi="Calibri"/>
          <w:color w:val="0070C0"/>
        </w:rPr>
        <w:t xml:space="preserve"> of leading lines</w:t>
      </w:r>
      <w:r w:rsidR="000C3CD0" w:rsidRPr="00687C41">
        <w:rPr>
          <w:rFonts w:ascii="Calibri" w:hAnsi="Calibri"/>
          <w:color w:val="0070C0"/>
        </w:rPr>
        <w:t xml:space="preserve"> from Finnish Guidelines</w:t>
      </w:r>
    </w:p>
    <w:p w14:paraId="0F258596" w14:textId="50FB6E37" w:rsidR="00A446C9" w:rsidRPr="00687C41" w:rsidRDefault="00A446C9" w:rsidP="00687C41">
      <w:pPr>
        <w:pStyle w:val="Heading1"/>
      </w:pPr>
      <w:r w:rsidRPr="00687C41">
        <w:t>Summary</w:t>
      </w:r>
    </w:p>
    <w:p w14:paraId="2D829213" w14:textId="5012BBB6" w:rsidR="00BD4E6F" w:rsidRPr="00687C41" w:rsidRDefault="00945C17" w:rsidP="00945C17">
      <w:pPr>
        <w:pStyle w:val="BodyText"/>
        <w:rPr>
          <w:rFonts w:ascii="Calibri" w:hAnsi="Calibri"/>
        </w:rPr>
      </w:pPr>
      <w:r w:rsidRPr="00687C41">
        <w:rPr>
          <w:rFonts w:ascii="Calibri" w:hAnsi="Calibri"/>
        </w:rPr>
        <w:t>In ENG3 members were requested to familiarise themselves with the documents relating to Recommendation E-112 for Leading Lig</w:t>
      </w:r>
      <w:r w:rsidR="00D2654E" w:rsidRPr="00687C41">
        <w:rPr>
          <w:rFonts w:ascii="Calibri" w:hAnsi="Calibri"/>
        </w:rPr>
        <w:t xml:space="preserve">hts and Guideline 1023 </w:t>
      </w:r>
      <w:r w:rsidR="00897B53" w:rsidRPr="00687C41">
        <w:rPr>
          <w:rFonts w:ascii="Calibri" w:hAnsi="Calibri"/>
        </w:rPr>
        <w:t xml:space="preserve">on the Design of Leading Lines </w:t>
      </w:r>
      <w:r w:rsidRPr="00687C41">
        <w:rPr>
          <w:rFonts w:ascii="Calibri" w:hAnsi="Calibri"/>
        </w:rPr>
        <w:t xml:space="preserve">and provide </w:t>
      </w:r>
      <w:proofErr w:type="gramStart"/>
      <w:r w:rsidRPr="00687C41">
        <w:rPr>
          <w:rFonts w:ascii="Calibri" w:hAnsi="Calibri"/>
        </w:rPr>
        <w:t>input</w:t>
      </w:r>
      <w:proofErr w:type="gramEnd"/>
      <w:r w:rsidRPr="00687C41">
        <w:rPr>
          <w:rFonts w:ascii="Calibri" w:hAnsi="Calibri"/>
        </w:rPr>
        <w:t xml:space="preserve"> papers to ENG4 to support the update. </w:t>
      </w:r>
      <w:r w:rsidRPr="00687C41">
        <w:rPr>
          <w:rFonts w:ascii="Calibri" w:hAnsi="Calibri"/>
        </w:rPr>
        <w:cr/>
      </w:r>
    </w:p>
    <w:p w14:paraId="3C575A26" w14:textId="77777777" w:rsidR="001C44A3" w:rsidRPr="00687C41" w:rsidRDefault="00BD4E6F" w:rsidP="00687C41">
      <w:pPr>
        <w:pStyle w:val="Heading2"/>
      </w:pPr>
      <w:r w:rsidRPr="00687C41">
        <w:t>Purpose</w:t>
      </w:r>
      <w:r w:rsidR="004D1D85" w:rsidRPr="00687C41">
        <w:t xml:space="preserve"> of the document</w:t>
      </w:r>
    </w:p>
    <w:p w14:paraId="6F8C23AB" w14:textId="3D43CD93" w:rsidR="00945C17" w:rsidRPr="00687C41" w:rsidRDefault="00945C17" w:rsidP="00E55927">
      <w:pPr>
        <w:pStyle w:val="BodyText"/>
        <w:rPr>
          <w:rFonts w:ascii="Calibri" w:hAnsi="Calibri"/>
        </w:rPr>
      </w:pPr>
      <w:r w:rsidRPr="00687C41">
        <w:rPr>
          <w:rFonts w:ascii="Calibri" w:hAnsi="Calibri"/>
        </w:rPr>
        <w:t xml:space="preserve">The input is presented for information and considering </w:t>
      </w:r>
      <w:r w:rsidR="0001285B" w:rsidRPr="00687C41">
        <w:rPr>
          <w:rFonts w:ascii="Calibri" w:hAnsi="Calibri"/>
        </w:rPr>
        <w:t xml:space="preserve">including relevant parts in </w:t>
      </w:r>
      <w:r w:rsidRPr="00687C41">
        <w:rPr>
          <w:rFonts w:ascii="Calibri" w:hAnsi="Calibri"/>
        </w:rPr>
        <w:t xml:space="preserve">the </w:t>
      </w:r>
      <w:r w:rsidR="005920DE" w:rsidRPr="00687C41">
        <w:rPr>
          <w:rFonts w:ascii="Calibri" w:hAnsi="Calibri"/>
        </w:rPr>
        <w:t xml:space="preserve">IALA </w:t>
      </w:r>
      <w:r w:rsidRPr="00687C41">
        <w:rPr>
          <w:rFonts w:ascii="Calibri" w:hAnsi="Calibri"/>
        </w:rPr>
        <w:t>Guideline.</w:t>
      </w:r>
    </w:p>
    <w:p w14:paraId="36D645BE" w14:textId="77777777" w:rsidR="00B56BDF" w:rsidRPr="00687C41" w:rsidRDefault="00B56BDF" w:rsidP="00687C41">
      <w:pPr>
        <w:pStyle w:val="Heading2"/>
      </w:pPr>
      <w:r w:rsidRPr="00687C41">
        <w:t>Related documents</w:t>
      </w:r>
    </w:p>
    <w:p w14:paraId="4B68EFF5" w14:textId="04B78EB6" w:rsidR="005920DE" w:rsidRPr="00687C41" w:rsidRDefault="00086309" w:rsidP="00B80189">
      <w:pPr>
        <w:pStyle w:val="BodyText"/>
        <w:rPr>
          <w:rFonts w:ascii="Calibri" w:hAnsi="Calibri"/>
        </w:rPr>
      </w:pPr>
      <w:r w:rsidRPr="00687C41">
        <w:rPr>
          <w:rFonts w:ascii="Calibri" w:hAnsi="Calibri"/>
        </w:rPr>
        <w:t>Guideline 1023 for the Design of Leading L</w:t>
      </w:r>
      <w:r w:rsidR="00B80189" w:rsidRPr="00687C41">
        <w:rPr>
          <w:rFonts w:ascii="Calibri" w:hAnsi="Calibri"/>
        </w:rPr>
        <w:t>ines</w:t>
      </w:r>
    </w:p>
    <w:p w14:paraId="53733F03" w14:textId="77777777" w:rsidR="00A446C9" w:rsidRPr="00687C41" w:rsidRDefault="00A446C9" w:rsidP="00687C41">
      <w:pPr>
        <w:pStyle w:val="Heading1"/>
      </w:pPr>
      <w:r w:rsidRPr="00687C41">
        <w:t>Background</w:t>
      </w:r>
    </w:p>
    <w:p w14:paraId="04F1A9E0" w14:textId="51548B89" w:rsidR="005920DE" w:rsidRPr="00687C41" w:rsidRDefault="005920DE" w:rsidP="005920DE">
      <w:pPr>
        <w:pStyle w:val="BodyText"/>
        <w:rPr>
          <w:rFonts w:ascii="Calibri" w:hAnsi="Calibri"/>
        </w:rPr>
      </w:pPr>
      <w:r w:rsidRPr="00687C41">
        <w:rPr>
          <w:rFonts w:ascii="Calibri" w:hAnsi="Calibri"/>
        </w:rPr>
        <w:t xml:space="preserve">The paper includes parts </w:t>
      </w:r>
      <w:r w:rsidR="008E0333" w:rsidRPr="00687C41">
        <w:rPr>
          <w:rFonts w:ascii="Calibri" w:hAnsi="Calibri"/>
        </w:rPr>
        <w:t xml:space="preserve">or aspects from </w:t>
      </w:r>
      <w:r w:rsidRPr="00687C41">
        <w:rPr>
          <w:rFonts w:ascii="Calibri" w:hAnsi="Calibri"/>
        </w:rPr>
        <w:t>Finnish guideline</w:t>
      </w:r>
      <w:r w:rsidR="000C3CD0" w:rsidRPr="00687C41">
        <w:rPr>
          <w:rFonts w:ascii="Calibri" w:hAnsi="Calibri"/>
        </w:rPr>
        <w:t>s</w:t>
      </w:r>
      <w:r w:rsidRPr="00687C41">
        <w:rPr>
          <w:rFonts w:ascii="Calibri" w:hAnsi="Calibri"/>
        </w:rPr>
        <w:t xml:space="preserve"> on leading lines that are not covered in the IALA guideline. </w:t>
      </w:r>
    </w:p>
    <w:p w14:paraId="041E9135" w14:textId="77777777" w:rsidR="00A446C9" w:rsidRPr="00687C41" w:rsidRDefault="00A446C9" w:rsidP="00687C41">
      <w:pPr>
        <w:pStyle w:val="Heading1"/>
      </w:pPr>
      <w:r w:rsidRPr="00687C41">
        <w:t>Discussion</w:t>
      </w:r>
    </w:p>
    <w:p w14:paraId="6706AE2C" w14:textId="7C48E723" w:rsidR="0019583F" w:rsidRPr="00687C41" w:rsidRDefault="0019583F" w:rsidP="00687C41">
      <w:pPr>
        <w:pStyle w:val="Heading2"/>
      </w:pPr>
      <w:r w:rsidRPr="00687C41">
        <w:t>Concept of channel width vs distance to most the dangerous obstruction from the Finnish guidelines</w:t>
      </w:r>
    </w:p>
    <w:p w14:paraId="1FCE13AB" w14:textId="77777777" w:rsidR="0019583F" w:rsidRPr="00687C41" w:rsidRDefault="0019583F" w:rsidP="0019583F">
      <w:pPr>
        <w:pStyle w:val="BodyText"/>
        <w:rPr>
          <w:rFonts w:ascii="Calibri" w:hAnsi="Calibri"/>
        </w:rPr>
      </w:pPr>
      <w:r w:rsidRPr="00687C41">
        <w:rPr>
          <w:rFonts w:ascii="Calibri" w:hAnsi="Calibri"/>
        </w:rPr>
        <w:t xml:space="preserve">Finnish guidelines use the concept of most dangerous obstruction instead of the width of the channel. Most dangerous is considered to be the obstruction at which the angle between axis of a leading line and the line drawn to the obstruction as seen from the front leading mark is smallest. </w:t>
      </w:r>
    </w:p>
    <w:p w14:paraId="79B4CC68" w14:textId="45B321CB" w:rsidR="0019583F" w:rsidRPr="00687C41" w:rsidRDefault="0019583F" w:rsidP="0019583F">
      <w:pPr>
        <w:pStyle w:val="BodyText"/>
        <w:rPr>
          <w:rFonts w:ascii="Calibri" w:hAnsi="Calibri"/>
        </w:rPr>
      </w:pPr>
      <w:r w:rsidRPr="00687C41">
        <w:rPr>
          <w:rFonts w:ascii="Calibri" w:hAnsi="Calibri"/>
        </w:rPr>
        <w:t>At first sight it may seem more complicated but in case of no clearly defined channel but isolated shallows the Finnish one would be more accurate approach. Besides it also covers the case of a channel where the most dangerous would</w:t>
      </w:r>
      <w:r w:rsidR="0001285B" w:rsidRPr="00687C41">
        <w:rPr>
          <w:rFonts w:ascii="Calibri" w:hAnsi="Calibri"/>
        </w:rPr>
        <w:t xml:space="preserve"> be the far end of the channel</w:t>
      </w:r>
      <w:r w:rsidRPr="00687C41">
        <w:rPr>
          <w:rFonts w:ascii="Calibri" w:hAnsi="Calibri"/>
        </w:rPr>
        <w:t xml:space="preserve">. </w:t>
      </w:r>
    </w:p>
    <w:p w14:paraId="50EB1903" w14:textId="77777777" w:rsidR="0019583F" w:rsidRPr="00687C41" w:rsidRDefault="0019583F" w:rsidP="0019583F">
      <w:pPr>
        <w:pStyle w:val="BodyText"/>
        <w:rPr>
          <w:rFonts w:ascii="Calibri" w:hAnsi="Calibri"/>
        </w:rPr>
      </w:pPr>
    </w:p>
    <w:p w14:paraId="624DF385" w14:textId="77777777" w:rsidR="00D112D5" w:rsidRPr="00687C41" w:rsidRDefault="00D112D5" w:rsidP="0019583F">
      <w:pPr>
        <w:pStyle w:val="BodyText"/>
        <w:rPr>
          <w:rFonts w:ascii="Calibri" w:hAnsi="Calibri"/>
        </w:rPr>
      </w:pPr>
    </w:p>
    <w:p w14:paraId="3EBCF9B5" w14:textId="77777777" w:rsidR="0001285B" w:rsidRPr="00687C41" w:rsidRDefault="0001285B" w:rsidP="0019583F">
      <w:pPr>
        <w:pStyle w:val="BodyText"/>
        <w:rPr>
          <w:rFonts w:ascii="Calibri" w:hAnsi="Calibri"/>
        </w:rPr>
      </w:pPr>
    </w:p>
    <w:p w14:paraId="59A090EE" w14:textId="7F4F8CB6" w:rsidR="007D37AF" w:rsidRPr="00687C41" w:rsidRDefault="000365A4" w:rsidP="00687C41">
      <w:pPr>
        <w:pStyle w:val="Heading2"/>
      </w:pPr>
      <w:r w:rsidRPr="00687C41">
        <w:t xml:space="preserve">Use of </w:t>
      </w:r>
      <w:proofErr w:type="spellStart"/>
      <w:r w:rsidRPr="00687C41">
        <w:t>retroreflecting</w:t>
      </w:r>
      <w:proofErr w:type="spellEnd"/>
      <w:r w:rsidRPr="00687C41">
        <w:t xml:space="preserve"> film</w:t>
      </w:r>
      <w:r w:rsidR="006D4586" w:rsidRPr="00687C41">
        <w:t xml:space="preserve"> on leading marks in Finnish guidelines</w:t>
      </w:r>
    </w:p>
    <w:p w14:paraId="3A326F3B" w14:textId="52FE45C7" w:rsidR="006D4586" w:rsidRPr="00687C41" w:rsidRDefault="00D112D5" w:rsidP="006D4586">
      <w:pPr>
        <w:pStyle w:val="BodyText"/>
        <w:rPr>
          <w:rFonts w:ascii="Calibri" w:hAnsi="Calibri"/>
        </w:rPr>
      </w:pPr>
      <w:r w:rsidRPr="00687C41">
        <w:rPr>
          <w:rFonts w:ascii="Calibri" w:hAnsi="Calibri"/>
        </w:rPr>
        <w:t>“</w:t>
      </w:r>
      <w:r w:rsidR="006D4586" w:rsidRPr="00687C41">
        <w:rPr>
          <w:rFonts w:ascii="Calibri" w:hAnsi="Calibri"/>
        </w:rPr>
        <w:t xml:space="preserve">Reflectors are mostly used as alternatives to lights on small craft routes and other less important </w:t>
      </w:r>
      <w:proofErr w:type="spellStart"/>
      <w:r w:rsidR="006D4586" w:rsidRPr="00687C41">
        <w:rPr>
          <w:rFonts w:ascii="Calibri" w:hAnsi="Calibri"/>
        </w:rPr>
        <w:t>roures</w:t>
      </w:r>
      <w:proofErr w:type="spellEnd"/>
      <w:r w:rsidR="006D4586" w:rsidRPr="00687C41">
        <w:rPr>
          <w:rFonts w:ascii="Calibri" w:hAnsi="Calibri"/>
        </w:rPr>
        <w:t xml:space="preserve">. However, they have importance on lighted fairways as well in case of failure of a light. </w:t>
      </w:r>
    </w:p>
    <w:p w14:paraId="250FC649" w14:textId="1F1CE046" w:rsidR="006D4586" w:rsidRPr="00687C41" w:rsidRDefault="006D4586" w:rsidP="006D4586">
      <w:pPr>
        <w:pStyle w:val="BodyText"/>
        <w:rPr>
          <w:rFonts w:ascii="Calibri" w:hAnsi="Calibri"/>
        </w:rPr>
      </w:pPr>
      <w:r w:rsidRPr="00687C41">
        <w:rPr>
          <w:rFonts w:ascii="Calibri" w:hAnsi="Calibri"/>
        </w:rPr>
        <w:t>At first, the light source is selected for observing the reflectors. On small crafts 10 000 cd and on ships ca 100 000 cd search lights can be expected.</w:t>
      </w:r>
    </w:p>
    <w:p w14:paraId="6E800A50" w14:textId="48DDB741" w:rsidR="006D4586" w:rsidRPr="00687C41" w:rsidRDefault="006D4586" w:rsidP="006D4586">
      <w:pPr>
        <w:pStyle w:val="BodyText"/>
        <w:rPr>
          <w:rFonts w:ascii="Calibri" w:hAnsi="Calibri"/>
        </w:rPr>
      </w:pPr>
      <w:r w:rsidRPr="00687C41">
        <w:rPr>
          <w:rFonts w:ascii="Calibri" w:hAnsi="Calibri"/>
        </w:rPr>
        <w:t>Then the minimum size of the reflector can be calculated by the formula:</w:t>
      </w:r>
    </w:p>
    <w:p w14:paraId="67D0EEF7" w14:textId="77777777" w:rsidR="006D4586" w:rsidRPr="00687C41" w:rsidRDefault="006D4586" w:rsidP="006D4586">
      <w:pPr>
        <w:pStyle w:val="BodyTextIndent"/>
        <w:ind w:left="0"/>
        <w:jc w:val="both"/>
        <w:rPr>
          <w:rFonts w:ascii="Calibri" w:hAnsi="Calibri"/>
        </w:rPr>
      </w:pPr>
      <w:r w:rsidRPr="00687C41">
        <w:rPr>
          <w:rFonts w:ascii="Calibri" w:hAnsi="Calibri"/>
        </w:rPr>
        <w:t>A = D</w:t>
      </w:r>
      <w:r w:rsidRPr="00687C41">
        <w:rPr>
          <w:rFonts w:ascii="Calibri" w:hAnsi="Calibri"/>
          <w:vertAlign w:val="superscript"/>
        </w:rPr>
        <w:t>4</w:t>
      </w:r>
      <w:r w:rsidRPr="00687C41">
        <w:rPr>
          <w:rFonts w:ascii="Calibri" w:hAnsi="Calibri"/>
        </w:rPr>
        <w:t>E/ IR0</w:t>
      </w:r>
      <w:proofErr w:type="gramStart"/>
      <w:r w:rsidRPr="00687C41">
        <w:rPr>
          <w:rFonts w:ascii="Calibri" w:hAnsi="Calibri"/>
        </w:rPr>
        <w:t>,05</w:t>
      </w:r>
      <w:r w:rsidRPr="00687C41">
        <w:rPr>
          <w:rFonts w:ascii="Calibri" w:hAnsi="Calibri"/>
          <w:vertAlign w:val="superscript"/>
        </w:rPr>
        <w:t>2D</w:t>
      </w:r>
      <w:proofErr w:type="gramEnd"/>
      <w:r w:rsidRPr="00687C41">
        <w:rPr>
          <w:rFonts w:ascii="Calibri" w:hAnsi="Calibri"/>
          <w:vertAlign w:val="superscript"/>
        </w:rPr>
        <w:t>/18520</w:t>
      </w:r>
      <w:r w:rsidRPr="00687C41">
        <w:rPr>
          <w:rFonts w:ascii="Calibri" w:hAnsi="Calibri"/>
        </w:rPr>
        <w:tab/>
      </w:r>
      <w:r w:rsidRPr="00687C41">
        <w:rPr>
          <w:rFonts w:ascii="Calibri" w:hAnsi="Calibri"/>
        </w:rPr>
        <w:tab/>
      </w:r>
      <w:r w:rsidRPr="00687C41">
        <w:rPr>
          <w:rFonts w:ascii="Calibri" w:hAnsi="Calibri"/>
        </w:rPr>
        <w:tab/>
      </w:r>
      <w:r w:rsidRPr="00687C41">
        <w:rPr>
          <w:rFonts w:ascii="Calibri" w:hAnsi="Calibri"/>
        </w:rPr>
        <w:tab/>
      </w:r>
      <w:r w:rsidRPr="00687C41">
        <w:rPr>
          <w:rFonts w:ascii="Calibri" w:hAnsi="Calibri"/>
        </w:rPr>
        <w:tab/>
      </w:r>
      <w:r w:rsidRPr="00687C41">
        <w:rPr>
          <w:rFonts w:ascii="Calibri" w:hAnsi="Calibri"/>
        </w:rPr>
        <w:tab/>
      </w:r>
      <w:r w:rsidRPr="00687C41">
        <w:rPr>
          <w:rFonts w:ascii="Calibri" w:hAnsi="Calibri"/>
        </w:rPr>
        <w:tab/>
        <w:t>(2.4.1)</w:t>
      </w:r>
    </w:p>
    <w:p w14:paraId="38EB6CE9" w14:textId="77777777" w:rsidR="006D4586" w:rsidRPr="00687C41" w:rsidRDefault="006D4586" w:rsidP="006D4586">
      <w:pPr>
        <w:pStyle w:val="BodyTextIndent"/>
        <w:ind w:left="0"/>
        <w:jc w:val="both"/>
        <w:rPr>
          <w:rFonts w:ascii="Calibri" w:hAnsi="Calibri"/>
        </w:rPr>
      </w:pPr>
      <w:r w:rsidRPr="00687C41">
        <w:rPr>
          <w:rFonts w:ascii="Calibri" w:hAnsi="Calibri"/>
        </w:rPr>
        <w:t xml:space="preserve">Modified for the </w:t>
      </w:r>
      <w:proofErr w:type="spellStart"/>
      <w:r w:rsidRPr="00687C41">
        <w:rPr>
          <w:rFonts w:ascii="Calibri" w:hAnsi="Calibri"/>
        </w:rPr>
        <w:t>treshold</w:t>
      </w:r>
      <w:proofErr w:type="spellEnd"/>
      <w:r w:rsidRPr="00687C41">
        <w:rPr>
          <w:rFonts w:ascii="Calibri" w:hAnsi="Calibri"/>
        </w:rPr>
        <w:t xml:space="preserve"> of </w:t>
      </w:r>
      <w:proofErr w:type="spellStart"/>
      <w:r w:rsidRPr="00687C41">
        <w:rPr>
          <w:rFonts w:ascii="Calibri" w:hAnsi="Calibri"/>
        </w:rPr>
        <w:t>illuminance</w:t>
      </w:r>
      <w:proofErr w:type="spellEnd"/>
      <w:r w:rsidRPr="00687C41">
        <w:rPr>
          <w:rFonts w:ascii="Calibri" w:hAnsi="Calibri"/>
        </w:rPr>
        <w:t>:</w:t>
      </w:r>
    </w:p>
    <w:p w14:paraId="226DF187" w14:textId="77777777" w:rsidR="006D4586" w:rsidRPr="00687C41" w:rsidRDefault="006D4586" w:rsidP="006D4586">
      <w:pPr>
        <w:pStyle w:val="BodyTextIndent"/>
        <w:ind w:left="0"/>
        <w:jc w:val="both"/>
        <w:rPr>
          <w:rFonts w:ascii="Calibri" w:hAnsi="Calibri"/>
        </w:rPr>
      </w:pPr>
      <w:r w:rsidRPr="00687C41">
        <w:rPr>
          <w:rFonts w:ascii="Calibri" w:hAnsi="Calibri"/>
        </w:rPr>
        <w:t>E = AIR0</w:t>
      </w:r>
      <w:proofErr w:type="gramStart"/>
      <w:r w:rsidRPr="00687C41">
        <w:rPr>
          <w:rFonts w:ascii="Calibri" w:hAnsi="Calibri"/>
        </w:rPr>
        <w:t>,05</w:t>
      </w:r>
      <w:r w:rsidRPr="00687C41">
        <w:rPr>
          <w:rFonts w:ascii="Calibri" w:hAnsi="Calibri"/>
          <w:vertAlign w:val="superscript"/>
        </w:rPr>
        <w:t>2D</w:t>
      </w:r>
      <w:proofErr w:type="gramEnd"/>
      <w:r w:rsidRPr="00687C41">
        <w:rPr>
          <w:rFonts w:ascii="Calibri" w:hAnsi="Calibri"/>
          <w:vertAlign w:val="superscript"/>
        </w:rPr>
        <w:t>/18520</w:t>
      </w:r>
      <w:r w:rsidRPr="00687C41">
        <w:rPr>
          <w:rFonts w:ascii="Calibri" w:hAnsi="Calibri"/>
        </w:rPr>
        <w:t>/ D</w:t>
      </w:r>
      <w:r w:rsidRPr="00687C41">
        <w:rPr>
          <w:rFonts w:ascii="Calibri" w:hAnsi="Calibri"/>
          <w:vertAlign w:val="superscript"/>
        </w:rPr>
        <w:t>4</w:t>
      </w:r>
      <w:r w:rsidRPr="00687C41">
        <w:rPr>
          <w:rFonts w:ascii="Calibri" w:hAnsi="Calibri"/>
        </w:rPr>
        <w:tab/>
      </w:r>
      <w:r w:rsidRPr="00687C41">
        <w:rPr>
          <w:rFonts w:ascii="Calibri" w:hAnsi="Calibri"/>
        </w:rPr>
        <w:tab/>
      </w:r>
      <w:r w:rsidRPr="00687C41">
        <w:rPr>
          <w:rFonts w:ascii="Calibri" w:hAnsi="Calibri"/>
        </w:rPr>
        <w:tab/>
      </w:r>
      <w:r w:rsidRPr="00687C41">
        <w:rPr>
          <w:rFonts w:ascii="Calibri" w:hAnsi="Calibri"/>
        </w:rPr>
        <w:tab/>
      </w:r>
      <w:r w:rsidRPr="00687C41">
        <w:rPr>
          <w:rFonts w:ascii="Calibri" w:hAnsi="Calibri"/>
        </w:rPr>
        <w:tab/>
      </w:r>
      <w:r w:rsidRPr="00687C41">
        <w:rPr>
          <w:rFonts w:ascii="Calibri" w:hAnsi="Calibri"/>
        </w:rPr>
        <w:tab/>
      </w:r>
      <w:r w:rsidRPr="00687C41">
        <w:rPr>
          <w:rFonts w:ascii="Calibri" w:hAnsi="Calibri"/>
        </w:rPr>
        <w:tab/>
        <w:t>(2.4.2)</w:t>
      </w:r>
    </w:p>
    <w:p w14:paraId="5ECC6AE8" w14:textId="77777777" w:rsidR="006D4586" w:rsidRPr="00687C41" w:rsidRDefault="006D4586" w:rsidP="006D4586">
      <w:pPr>
        <w:pStyle w:val="BodyTextIndent"/>
        <w:ind w:left="0"/>
        <w:jc w:val="both"/>
        <w:rPr>
          <w:rFonts w:ascii="Calibri" w:hAnsi="Calibri"/>
        </w:rPr>
      </w:pPr>
      <w:r w:rsidRPr="00687C41">
        <w:rPr>
          <w:rFonts w:ascii="Calibri" w:hAnsi="Calibri"/>
        </w:rPr>
        <w:t xml:space="preserve">A – </w:t>
      </w:r>
      <w:proofErr w:type="gramStart"/>
      <w:r w:rsidRPr="00687C41">
        <w:rPr>
          <w:rFonts w:ascii="Calibri" w:hAnsi="Calibri"/>
        </w:rPr>
        <w:t>area</w:t>
      </w:r>
      <w:proofErr w:type="gramEnd"/>
      <w:r w:rsidRPr="00687C41">
        <w:rPr>
          <w:rFonts w:ascii="Calibri" w:hAnsi="Calibri"/>
        </w:rPr>
        <w:t xml:space="preserve"> of the reflector  [m</w:t>
      </w:r>
      <w:r w:rsidRPr="00687C41">
        <w:rPr>
          <w:rFonts w:ascii="Calibri" w:hAnsi="Calibri"/>
          <w:vertAlign w:val="superscript"/>
        </w:rPr>
        <w:t>2</w:t>
      </w:r>
      <w:r w:rsidRPr="00687C41">
        <w:rPr>
          <w:rFonts w:ascii="Calibri" w:hAnsi="Calibri"/>
        </w:rPr>
        <w:t>];</w:t>
      </w:r>
    </w:p>
    <w:p w14:paraId="632E20DE" w14:textId="77777777" w:rsidR="006D4586" w:rsidRPr="00687C41" w:rsidRDefault="006D4586" w:rsidP="006D4586">
      <w:pPr>
        <w:pStyle w:val="BodyTextIndent"/>
        <w:ind w:left="0"/>
        <w:jc w:val="both"/>
        <w:rPr>
          <w:rFonts w:ascii="Calibri" w:hAnsi="Calibri"/>
        </w:rPr>
      </w:pPr>
      <w:r w:rsidRPr="00687C41">
        <w:rPr>
          <w:rFonts w:ascii="Calibri" w:hAnsi="Calibri"/>
        </w:rPr>
        <w:t xml:space="preserve">E – </w:t>
      </w:r>
      <w:proofErr w:type="spellStart"/>
      <w:proofErr w:type="gramStart"/>
      <w:r w:rsidRPr="00687C41">
        <w:rPr>
          <w:rFonts w:ascii="Calibri" w:hAnsi="Calibri"/>
        </w:rPr>
        <w:t>treshold</w:t>
      </w:r>
      <w:proofErr w:type="spellEnd"/>
      <w:proofErr w:type="gramEnd"/>
      <w:r w:rsidRPr="00687C41">
        <w:rPr>
          <w:rFonts w:ascii="Calibri" w:hAnsi="Calibri"/>
        </w:rPr>
        <w:t xml:space="preserve"> of </w:t>
      </w:r>
      <w:proofErr w:type="spellStart"/>
      <w:r w:rsidRPr="00687C41">
        <w:rPr>
          <w:rFonts w:ascii="Calibri" w:hAnsi="Calibri"/>
        </w:rPr>
        <w:t>illuminance</w:t>
      </w:r>
      <w:proofErr w:type="spellEnd"/>
      <w:r w:rsidRPr="00687C41">
        <w:rPr>
          <w:rFonts w:ascii="Calibri" w:hAnsi="Calibri"/>
        </w:rPr>
        <w:t xml:space="preserve"> [lx];</w:t>
      </w:r>
    </w:p>
    <w:p w14:paraId="7BAFD5A3" w14:textId="77777777" w:rsidR="006D4586" w:rsidRPr="00687C41" w:rsidRDefault="006D4586" w:rsidP="006D4586">
      <w:pPr>
        <w:pStyle w:val="BodyTextIndent"/>
        <w:ind w:left="0"/>
        <w:jc w:val="both"/>
        <w:rPr>
          <w:rFonts w:ascii="Calibri" w:hAnsi="Calibri"/>
        </w:rPr>
      </w:pPr>
      <w:r w:rsidRPr="00687C41">
        <w:rPr>
          <w:rFonts w:ascii="Calibri" w:hAnsi="Calibri"/>
        </w:rPr>
        <w:t xml:space="preserve">D – </w:t>
      </w:r>
      <w:proofErr w:type="gramStart"/>
      <w:r w:rsidRPr="00687C41">
        <w:rPr>
          <w:rFonts w:ascii="Calibri" w:hAnsi="Calibri"/>
        </w:rPr>
        <w:t>observing</w:t>
      </w:r>
      <w:proofErr w:type="gramEnd"/>
      <w:r w:rsidRPr="00687C41">
        <w:rPr>
          <w:rFonts w:ascii="Calibri" w:hAnsi="Calibri"/>
        </w:rPr>
        <w:t xml:space="preserve"> distance [m];</w:t>
      </w:r>
    </w:p>
    <w:p w14:paraId="23A3CB1F" w14:textId="77777777" w:rsidR="006D4586" w:rsidRPr="00687C41" w:rsidRDefault="006D4586" w:rsidP="006D4586">
      <w:pPr>
        <w:pStyle w:val="BodyTextIndent"/>
        <w:ind w:left="0"/>
        <w:jc w:val="both"/>
        <w:rPr>
          <w:rFonts w:ascii="Calibri" w:hAnsi="Calibri"/>
        </w:rPr>
      </w:pPr>
      <w:r w:rsidRPr="00687C41">
        <w:rPr>
          <w:rFonts w:ascii="Calibri" w:hAnsi="Calibri"/>
        </w:rPr>
        <w:t>I – intensity of the light source [cd];</w:t>
      </w:r>
    </w:p>
    <w:p w14:paraId="5DB4364F" w14:textId="0B3647A5" w:rsidR="006D4586" w:rsidRPr="00687C41" w:rsidRDefault="006D4586" w:rsidP="006D4586">
      <w:pPr>
        <w:pStyle w:val="BodyTextIndent"/>
        <w:ind w:left="0"/>
        <w:jc w:val="both"/>
        <w:rPr>
          <w:rFonts w:ascii="Calibri" w:hAnsi="Calibri"/>
        </w:rPr>
      </w:pPr>
      <w:r w:rsidRPr="00687C41">
        <w:rPr>
          <w:rFonts w:ascii="Calibri" w:hAnsi="Calibri"/>
        </w:rPr>
        <w:t xml:space="preserve">R – </w:t>
      </w:r>
      <w:proofErr w:type="gramStart"/>
      <w:r w:rsidRPr="00687C41">
        <w:rPr>
          <w:rFonts w:ascii="Calibri" w:hAnsi="Calibri"/>
        </w:rPr>
        <w:t>reflecting</w:t>
      </w:r>
      <w:proofErr w:type="gramEnd"/>
      <w:r w:rsidRPr="00687C41">
        <w:rPr>
          <w:rFonts w:ascii="Calibri" w:hAnsi="Calibri"/>
        </w:rPr>
        <w:t xml:space="preserve"> coefficient of the reflector [lx/m</w:t>
      </w:r>
      <w:r w:rsidRPr="00687C41">
        <w:rPr>
          <w:rFonts w:ascii="Calibri" w:hAnsi="Calibri"/>
          <w:vertAlign w:val="superscript"/>
        </w:rPr>
        <w:t>2</w:t>
      </w:r>
      <w:r w:rsidRPr="00687C41">
        <w:rPr>
          <w:rFonts w:ascii="Calibri" w:hAnsi="Calibri"/>
        </w:rPr>
        <w:t>/cd].</w:t>
      </w:r>
      <w:r w:rsidRPr="00687C41">
        <w:rPr>
          <w:rFonts w:ascii="Calibri" w:hAnsi="Calibri"/>
        </w:rPr>
        <w:tab/>
      </w:r>
      <w:r w:rsidR="00822C6A" w:rsidRPr="00687C41">
        <w:rPr>
          <w:rFonts w:ascii="Calibri" w:hAnsi="Calibri"/>
          <w:i/>
          <w:color w:val="FF0000"/>
        </w:rPr>
        <w:t>(At</w:t>
      </w:r>
      <w:r w:rsidRPr="00687C41">
        <w:rPr>
          <w:rFonts w:ascii="Calibri" w:hAnsi="Calibri"/>
          <w:i/>
          <w:color w:val="FF0000"/>
        </w:rPr>
        <w:t xml:space="preserve"> 3M web page</w:t>
      </w:r>
      <w:r w:rsidR="00822C6A" w:rsidRPr="00687C41">
        <w:rPr>
          <w:rFonts w:ascii="Calibri" w:hAnsi="Calibri"/>
          <w:i/>
          <w:color w:val="FF0000"/>
        </w:rPr>
        <w:t xml:space="preserve"> it is cd/lux/m2</w:t>
      </w:r>
      <w:r w:rsidRPr="00687C41">
        <w:rPr>
          <w:rFonts w:ascii="Calibri" w:hAnsi="Calibri"/>
          <w:i/>
          <w:color w:val="FF0000"/>
        </w:rPr>
        <w:t>)</w:t>
      </w:r>
    </w:p>
    <w:p w14:paraId="04FD7CAA" w14:textId="2590A7C0" w:rsidR="006D4586" w:rsidRPr="00687C41" w:rsidRDefault="006D4586" w:rsidP="006D4586">
      <w:pPr>
        <w:pStyle w:val="BodyText"/>
        <w:rPr>
          <w:rFonts w:ascii="Calibri" w:hAnsi="Calibri"/>
        </w:rPr>
      </w:pPr>
      <w:r w:rsidRPr="00687C41">
        <w:rPr>
          <w:rFonts w:ascii="Calibri" w:hAnsi="Calibri"/>
        </w:rPr>
        <w:t xml:space="preserve">In principle the calculations can be made as for lights but, as the main purpose is to get strong enough reflection, maximum values need not to be calculated. </w:t>
      </w:r>
      <w:proofErr w:type="spellStart"/>
      <w:r w:rsidRPr="00687C41">
        <w:rPr>
          <w:rFonts w:ascii="Calibri" w:hAnsi="Calibri"/>
        </w:rPr>
        <w:t>Retroreflecting</w:t>
      </w:r>
      <w:proofErr w:type="spellEnd"/>
      <w:r w:rsidRPr="00687C41">
        <w:rPr>
          <w:rFonts w:ascii="Calibri" w:hAnsi="Calibri"/>
        </w:rPr>
        <w:t xml:space="preserve"> film is placed on the middle stripe of the leading mark so that it covers ¾ of that stripe, and a quarter of the area of the whole </w:t>
      </w:r>
      <w:proofErr w:type="spellStart"/>
      <w:r w:rsidRPr="00687C41">
        <w:rPr>
          <w:rFonts w:ascii="Calibri" w:hAnsi="Calibri"/>
        </w:rPr>
        <w:t>daymark</w:t>
      </w:r>
      <w:proofErr w:type="spellEnd"/>
      <w:r w:rsidRPr="00687C41">
        <w:rPr>
          <w:rFonts w:ascii="Calibri" w:hAnsi="Calibri"/>
        </w:rPr>
        <w:t xml:space="preserve">. Film of the front mark begins from the lower edge of the </w:t>
      </w:r>
      <w:proofErr w:type="spellStart"/>
      <w:r w:rsidRPr="00687C41">
        <w:rPr>
          <w:rFonts w:ascii="Calibri" w:hAnsi="Calibri"/>
        </w:rPr>
        <w:t>daymark</w:t>
      </w:r>
      <w:proofErr w:type="spellEnd"/>
      <w:r w:rsidRPr="00687C41">
        <w:rPr>
          <w:rFonts w:ascii="Calibri" w:hAnsi="Calibri"/>
        </w:rPr>
        <w:t xml:space="preserve"> and the film of the rear mark begins from the upper edge of the </w:t>
      </w:r>
      <w:proofErr w:type="spellStart"/>
      <w:r w:rsidRPr="00687C41">
        <w:rPr>
          <w:rFonts w:ascii="Calibri" w:hAnsi="Calibri"/>
        </w:rPr>
        <w:t>daymark</w:t>
      </w:r>
      <w:proofErr w:type="spellEnd"/>
      <w:r w:rsidRPr="00687C41">
        <w:rPr>
          <w:rFonts w:ascii="Calibri" w:hAnsi="Calibri"/>
        </w:rPr>
        <w:t xml:space="preserve"> (so that that the reflectors will not blur making using the leading line difficult). The reflection is decreasing very fast with the distance and the maximum distance does not ex</w:t>
      </w:r>
      <w:r w:rsidR="00D112D5" w:rsidRPr="00687C41">
        <w:rPr>
          <w:rFonts w:ascii="Calibri" w:hAnsi="Calibri"/>
        </w:rPr>
        <w:t>c</w:t>
      </w:r>
      <w:r w:rsidRPr="00687C41">
        <w:rPr>
          <w:rFonts w:ascii="Calibri" w:hAnsi="Calibri"/>
        </w:rPr>
        <w:t xml:space="preserve">eed 4000 m even with powerful searchlights. In practice the distances are 0 ... 2500 m are used. The colour of the reflector is always white. </w:t>
      </w:r>
    </w:p>
    <w:p w14:paraId="345FF98D" w14:textId="5452FEED" w:rsidR="006D4586" w:rsidRPr="00687C41" w:rsidRDefault="006D4586" w:rsidP="006D4586">
      <w:pPr>
        <w:pStyle w:val="BodyText"/>
        <w:rPr>
          <w:rFonts w:ascii="Calibri" w:hAnsi="Calibri"/>
        </w:rPr>
      </w:pPr>
      <w:r w:rsidRPr="00687C41">
        <w:rPr>
          <w:rFonts w:ascii="Calibri" w:hAnsi="Calibri"/>
        </w:rPr>
        <w:t>When the areas to be covered with the reflectors are determined the value of E is determined for both marks with the formula (2.4.2).</w:t>
      </w:r>
      <w:r w:rsidR="00D112D5" w:rsidRPr="00687C41">
        <w:rPr>
          <w:rFonts w:ascii="Calibri" w:hAnsi="Calibri"/>
        </w:rPr>
        <w:t>”</w:t>
      </w:r>
    </w:p>
    <w:p w14:paraId="55F343E9" w14:textId="77777777" w:rsidR="00C110C1" w:rsidRPr="00687C41" w:rsidRDefault="00C110C1" w:rsidP="006D4586">
      <w:pPr>
        <w:pStyle w:val="BodyText"/>
        <w:rPr>
          <w:rFonts w:ascii="Calibri" w:hAnsi="Calibri"/>
        </w:rPr>
      </w:pPr>
    </w:p>
    <w:p w14:paraId="77749C28" w14:textId="1D026104" w:rsidR="00126A2C" w:rsidRPr="00687C41" w:rsidRDefault="00126A2C" w:rsidP="00687C41">
      <w:pPr>
        <w:pStyle w:val="Heading2"/>
      </w:pPr>
      <w:r w:rsidRPr="00687C41">
        <w:t>Using semi-transparent material for enhancing conspicuity/contrast of daymarks observed against the sun</w:t>
      </w:r>
    </w:p>
    <w:p w14:paraId="7CE1A49A" w14:textId="133DE11A" w:rsidR="00126A2C" w:rsidRPr="00687C41" w:rsidRDefault="00126A2C" w:rsidP="006D4586">
      <w:pPr>
        <w:pStyle w:val="BodyText"/>
        <w:rPr>
          <w:rFonts w:ascii="Calibri" w:hAnsi="Calibri"/>
        </w:rPr>
      </w:pPr>
      <w:r w:rsidRPr="00687C41">
        <w:rPr>
          <w:rFonts w:ascii="Calibri" w:hAnsi="Calibri"/>
        </w:rPr>
        <w:t xml:space="preserve">Finnish recommendations have mentioned that using semi-transparent material on daymarks could enhance conspicuity/contrast of daymarks observed against the sun. </w:t>
      </w:r>
      <w:r w:rsidR="009A1D62" w:rsidRPr="00687C41">
        <w:rPr>
          <w:rFonts w:ascii="Calibri" w:hAnsi="Calibri"/>
        </w:rPr>
        <w:t xml:space="preserve">Attached is </w:t>
      </w:r>
      <w:r w:rsidR="0064293B" w:rsidRPr="00687C41">
        <w:rPr>
          <w:rFonts w:ascii="Calibri" w:hAnsi="Calibri"/>
        </w:rPr>
        <w:t xml:space="preserve">a </w:t>
      </w:r>
      <w:r w:rsidR="009A1D62" w:rsidRPr="00687C41">
        <w:rPr>
          <w:rFonts w:ascii="Calibri" w:hAnsi="Calibri"/>
        </w:rPr>
        <w:t xml:space="preserve">picture </w:t>
      </w:r>
      <w:r w:rsidR="0064293B" w:rsidRPr="00687C41">
        <w:rPr>
          <w:rFonts w:ascii="Calibri" w:hAnsi="Calibri"/>
        </w:rPr>
        <w:t xml:space="preserve">from </w:t>
      </w:r>
      <w:r w:rsidR="009A1D62" w:rsidRPr="00687C41">
        <w:rPr>
          <w:rFonts w:ascii="Calibri" w:hAnsi="Calibri"/>
        </w:rPr>
        <w:t>Finnish inland waters</w:t>
      </w:r>
      <w:r w:rsidR="0064293B" w:rsidRPr="00687C41">
        <w:rPr>
          <w:rFonts w:ascii="Calibri" w:hAnsi="Calibri"/>
        </w:rPr>
        <w:t xml:space="preserve"> where sun</w:t>
      </w:r>
      <w:r w:rsidR="008C3701" w:rsidRPr="00687C41">
        <w:rPr>
          <w:rFonts w:ascii="Calibri" w:hAnsi="Calibri"/>
        </w:rPr>
        <w:t xml:space="preserve"> </w:t>
      </w:r>
      <w:r w:rsidR="0064293B" w:rsidRPr="00687C41">
        <w:rPr>
          <w:rFonts w:ascii="Calibri" w:hAnsi="Calibri"/>
        </w:rPr>
        <w:t xml:space="preserve">from back </w:t>
      </w:r>
      <w:r w:rsidR="008367C5" w:rsidRPr="00687C41">
        <w:rPr>
          <w:rFonts w:ascii="Calibri" w:hAnsi="Calibri"/>
        </w:rPr>
        <w:t xml:space="preserve">of the leading mark in foreground </w:t>
      </w:r>
      <w:r w:rsidR="0064293B" w:rsidRPr="00687C41">
        <w:rPr>
          <w:rFonts w:ascii="Calibri" w:hAnsi="Calibri"/>
        </w:rPr>
        <w:t xml:space="preserve">makes </w:t>
      </w:r>
      <w:r w:rsidR="008367C5" w:rsidRPr="00687C41">
        <w:rPr>
          <w:rFonts w:ascii="Calibri" w:hAnsi="Calibri"/>
        </w:rPr>
        <w:t xml:space="preserve">its </w:t>
      </w:r>
      <w:proofErr w:type="spellStart"/>
      <w:r w:rsidR="008367C5" w:rsidRPr="00687C41">
        <w:rPr>
          <w:rFonts w:ascii="Calibri" w:hAnsi="Calibri"/>
        </w:rPr>
        <w:t>dayboard</w:t>
      </w:r>
      <w:proofErr w:type="spellEnd"/>
      <w:r w:rsidR="0064293B" w:rsidRPr="00687C41">
        <w:rPr>
          <w:rFonts w:ascii="Calibri" w:hAnsi="Calibri"/>
        </w:rPr>
        <w:t xml:space="preserve"> </w:t>
      </w:r>
      <w:r w:rsidR="008367C5" w:rsidRPr="00687C41">
        <w:rPr>
          <w:rFonts w:ascii="Calibri" w:hAnsi="Calibri"/>
        </w:rPr>
        <w:t>more conspicuous by making it shine</w:t>
      </w:r>
      <w:r w:rsidR="009A1D62" w:rsidRPr="00687C41">
        <w:rPr>
          <w:rFonts w:ascii="Calibri" w:hAnsi="Calibri"/>
        </w:rPr>
        <w:t>.</w:t>
      </w:r>
      <w:r w:rsidR="00E0155D" w:rsidRPr="00687C41">
        <w:rPr>
          <w:rFonts w:ascii="Calibri" w:hAnsi="Calibri"/>
        </w:rPr>
        <w:t xml:space="preserve"> </w:t>
      </w:r>
    </w:p>
    <w:p w14:paraId="7A170E26" w14:textId="79AF3DF8" w:rsidR="00126A2C" w:rsidRPr="00687C41" w:rsidRDefault="00126A2C" w:rsidP="006D4586">
      <w:pPr>
        <w:pStyle w:val="BodyText"/>
        <w:rPr>
          <w:rFonts w:ascii="Calibri" w:hAnsi="Calibri"/>
        </w:rPr>
      </w:pPr>
      <w:r w:rsidRPr="00687C41">
        <w:rPr>
          <w:rFonts w:ascii="Calibri" w:hAnsi="Calibri"/>
          <w:noProof/>
          <w:lang w:val="en-IE" w:eastAsia="en-IE"/>
        </w:rPr>
        <w:lastRenderedPageBreak/>
        <w:drawing>
          <wp:inline distT="0" distB="0" distL="0" distR="0" wp14:anchorId="52E95192" wp14:editId="2998076C">
            <wp:extent cx="6210935" cy="2707005"/>
            <wp:effectExtent l="0" t="0" r="0" b="0"/>
            <wp:docPr id="4" name="Pilt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emi-transparent daymark.png"/>
                    <pic:cNvPicPr/>
                  </pic:nvPicPr>
                  <pic:blipFill>
                    <a:blip r:embed="rId9">
                      <a:extLst>
                        <a:ext uri="{28A0092B-C50C-407E-A947-70E740481C1C}">
                          <a14:useLocalDpi xmlns:a14="http://schemas.microsoft.com/office/drawing/2010/main" val="0"/>
                        </a:ext>
                      </a:extLst>
                    </a:blip>
                    <a:stretch>
                      <a:fillRect/>
                    </a:stretch>
                  </pic:blipFill>
                  <pic:spPr>
                    <a:xfrm>
                      <a:off x="0" y="0"/>
                      <a:ext cx="6210935" cy="2707005"/>
                    </a:xfrm>
                    <a:prstGeom prst="rect">
                      <a:avLst/>
                    </a:prstGeom>
                  </pic:spPr>
                </pic:pic>
              </a:graphicData>
            </a:graphic>
          </wp:inline>
        </w:drawing>
      </w:r>
    </w:p>
    <w:p w14:paraId="7CCE7614" w14:textId="21EED429" w:rsidR="00D83873" w:rsidRPr="00687C41" w:rsidRDefault="00D112D5" w:rsidP="0064293B">
      <w:pPr>
        <w:pStyle w:val="List1"/>
        <w:rPr>
          <w:rFonts w:ascii="Calibri" w:hAnsi="Calibri"/>
        </w:rPr>
      </w:pPr>
      <w:r w:rsidRPr="00687C41">
        <w:rPr>
          <w:rFonts w:ascii="Calibri" w:hAnsi="Calibri"/>
        </w:rPr>
        <w:t>A s</w:t>
      </w:r>
      <w:r w:rsidR="0064293B" w:rsidRPr="00687C41">
        <w:rPr>
          <w:rFonts w:ascii="Calibri" w:hAnsi="Calibri"/>
        </w:rPr>
        <w:t xml:space="preserve">emi-transparent </w:t>
      </w:r>
      <w:proofErr w:type="spellStart"/>
      <w:r w:rsidR="0064293B" w:rsidRPr="00687C41">
        <w:rPr>
          <w:rFonts w:ascii="Calibri" w:hAnsi="Calibri"/>
        </w:rPr>
        <w:t>daymark</w:t>
      </w:r>
      <w:proofErr w:type="spellEnd"/>
      <w:r w:rsidRPr="00687C41">
        <w:rPr>
          <w:rFonts w:ascii="Calibri" w:hAnsi="Calibri"/>
        </w:rPr>
        <w:t xml:space="preserve"> glowing in sunlight</w:t>
      </w:r>
      <w:r w:rsidR="0064293B" w:rsidRPr="00687C41">
        <w:rPr>
          <w:rFonts w:ascii="Calibri" w:hAnsi="Calibri"/>
        </w:rPr>
        <w:t xml:space="preserve"> on Finnish inland waterways</w:t>
      </w:r>
      <w:r w:rsidRPr="00687C41">
        <w:rPr>
          <w:rFonts w:ascii="Calibri" w:hAnsi="Calibri"/>
        </w:rPr>
        <w:t xml:space="preserve"> (left)</w:t>
      </w:r>
    </w:p>
    <w:p w14:paraId="4426951C" w14:textId="77777777" w:rsidR="00126A2C" w:rsidRPr="00687C41" w:rsidRDefault="00126A2C" w:rsidP="006D4586">
      <w:pPr>
        <w:pStyle w:val="BodyText"/>
        <w:rPr>
          <w:rFonts w:ascii="Calibri" w:hAnsi="Calibri"/>
        </w:rPr>
      </w:pPr>
    </w:p>
    <w:p w14:paraId="1D083D92" w14:textId="77777777" w:rsidR="00180DDA" w:rsidRPr="00687C41" w:rsidRDefault="00180DDA" w:rsidP="00687C41">
      <w:pPr>
        <w:pStyle w:val="Heading1"/>
      </w:pPr>
      <w:r w:rsidRPr="00687C41">
        <w:t>References</w:t>
      </w:r>
    </w:p>
    <w:p w14:paraId="203C0168" w14:textId="15F6A4C0" w:rsidR="006D4586" w:rsidRPr="00687C41" w:rsidRDefault="005920DE" w:rsidP="00C56150">
      <w:pPr>
        <w:pStyle w:val="References"/>
        <w:rPr>
          <w:rFonts w:ascii="Calibri" w:hAnsi="Calibri"/>
        </w:rPr>
      </w:pPr>
      <w:proofErr w:type="spellStart"/>
      <w:r w:rsidRPr="00687C41">
        <w:rPr>
          <w:rFonts w:ascii="Calibri" w:hAnsi="Calibri"/>
          <w:i/>
        </w:rPr>
        <w:t>Vesiväylien</w:t>
      </w:r>
      <w:proofErr w:type="spellEnd"/>
      <w:r w:rsidRPr="00687C41">
        <w:rPr>
          <w:rFonts w:ascii="Calibri" w:hAnsi="Calibri"/>
          <w:i/>
        </w:rPr>
        <w:t xml:space="preserve"> </w:t>
      </w:r>
      <w:proofErr w:type="spellStart"/>
      <w:r w:rsidRPr="00687C41">
        <w:rPr>
          <w:rFonts w:ascii="Calibri" w:hAnsi="Calibri"/>
          <w:i/>
        </w:rPr>
        <w:t>linjalaskennan</w:t>
      </w:r>
      <w:proofErr w:type="spellEnd"/>
      <w:r w:rsidRPr="00687C41">
        <w:rPr>
          <w:rFonts w:ascii="Calibri" w:hAnsi="Calibri"/>
          <w:i/>
        </w:rPr>
        <w:t xml:space="preserve"> </w:t>
      </w:r>
      <w:proofErr w:type="spellStart"/>
      <w:r w:rsidRPr="00687C41">
        <w:rPr>
          <w:rFonts w:ascii="Calibri" w:hAnsi="Calibri"/>
          <w:i/>
        </w:rPr>
        <w:t>perusteet</w:t>
      </w:r>
      <w:proofErr w:type="spellEnd"/>
      <w:r w:rsidRPr="00687C41">
        <w:rPr>
          <w:rFonts w:ascii="Calibri" w:hAnsi="Calibri"/>
          <w:i/>
        </w:rPr>
        <w:t xml:space="preserve">. 2-2013. </w:t>
      </w:r>
      <w:proofErr w:type="spellStart"/>
      <w:r w:rsidRPr="00687C41">
        <w:rPr>
          <w:rFonts w:ascii="Calibri" w:hAnsi="Calibri"/>
          <w:i/>
        </w:rPr>
        <w:t>Liikennevitaston</w:t>
      </w:r>
      <w:proofErr w:type="spellEnd"/>
      <w:r w:rsidRPr="00687C41">
        <w:rPr>
          <w:rFonts w:ascii="Calibri" w:hAnsi="Calibri"/>
          <w:i/>
        </w:rPr>
        <w:t xml:space="preserve"> </w:t>
      </w:r>
      <w:proofErr w:type="spellStart"/>
      <w:r w:rsidRPr="00687C41">
        <w:rPr>
          <w:rFonts w:ascii="Calibri" w:hAnsi="Calibri"/>
          <w:i/>
        </w:rPr>
        <w:t>oppaita</w:t>
      </w:r>
      <w:proofErr w:type="spellEnd"/>
      <w:r w:rsidR="006D4586" w:rsidRPr="00687C41">
        <w:rPr>
          <w:rFonts w:ascii="Calibri" w:hAnsi="Calibri"/>
        </w:rPr>
        <w:t xml:space="preserve"> </w:t>
      </w:r>
      <w:hyperlink r:id="rId10" w:history="1">
        <w:r w:rsidR="006D4586" w:rsidRPr="00687C41">
          <w:rPr>
            <w:rStyle w:val="Hyperlink"/>
            <w:rFonts w:ascii="Calibri" w:hAnsi="Calibri"/>
          </w:rPr>
          <w:t>http://www2.liikennevirasto.fi/julkaisut/pdf3/lop_2013-02_vesivaylien_linjalaskennan_web.pdf</w:t>
        </w:r>
      </w:hyperlink>
      <w:r w:rsidR="006D4586" w:rsidRPr="00687C41">
        <w:rPr>
          <w:rFonts w:ascii="Calibri" w:hAnsi="Calibri"/>
        </w:rPr>
        <w:t xml:space="preserve"> </w:t>
      </w:r>
    </w:p>
    <w:p w14:paraId="35E33728" w14:textId="77777777" w:rsidR="005920DE" w:rsidRPr="00687C41" w:rsidRDefault="006D4586" w:rsidP="005920DE">
      <w:pPr>
        <w:pStyle w:val="References"/>
        <w:numPr>
          <w:ilvl w:val="0"/>
          <w:numId w:val="0"/>
        </w:numPr>
        <w:ind w:left="567"/>
        <w:rPr>
          <w:rFonts w:ascii="Calibri" w:hAnsi="Calibri"/>
          <w:lang w:eastAsia="de-DE"/>
        </w:rPr>
      </w:pPr>
      <w:r w:rsidRPr="00687C41">
        <w:rPr>
          <w:rFonts w:ascii="Calibri" w:hAnsi="Calibri"/>
          <w:lang w:eastAsia="de-DE"/>
        </w:rPr>
        <w:t xml:space="preserve"> </w:t>
      </w:r>
    </w:p>
    <w:p w14:paraId="7A8D2F27" w14:textId="77777777" w:rsidR="00A446C9" w:rsidRPr="00687C41" w:rsidRDefault="00A446C9" w:rsidP="00687C41">
      <w:pPr>
        <w:pStyle w:val="Heading1"/>
      </w:pPr>
      <w:r w:rsidRPr="00687C41">
        <w:t>Action requested of the Committee</w:t>
      </w:r>
    </w:p>
    <w:p w14:paraId="1556E528" w14:textId="595A1CB0" w:rsidR="00F25BF4" w:rsidRPr="00687C41" w:rsidRDefault="00F25BF4" w:rsidP="00A446C9">
      <w:pPr>
        <w:pStyle w:val="BodyText"/>
        <w:rPr>
          <w:rFonts w:ascii="Calibri" w:hAnsi="Calibri"/>
        </w:rPr>
      </w:pPr>
      <w:r w:rsidRPr="00687C41">
        <w:rPr>
          <w:rFonts w:ascii="Calibri" w:hAnsi="Calibri"/>
        </w:rPr>
        <w:t xml:space="preserve">The Committee is requested to: </w:t>
      </w:r>
    </w:p>
    <w:p w14:paraId="41A1E375" w14:textId="20E3907D" w:rsidR="00F25BF4" w:rsidRPr="00687C41" w:rsidRDefault="004625A3" w:rsidP="00362CD9">
      <w:pPr>
        <w:pStyle w:val="List1"/>
        <w:numPr>
          <w:ilvl w:val="0"/>
          <w:numId w:val="39"/>
        </w:numPr>
        <w:rPr>
          <w:rFonts w:ascii="Calibri" w:hAnsi="Calibri"/>
        </w:rPr>
      </w:pPr>
      <w:r w:rsidRPr="00687C41">
        <w:rPr>
          <w:rFonts w:ascii="Calibri" w:hAnsi="Calibri"/>
        </w:rPr>
        <w:t>Review the input paper during the discussion of Guideline 1023 for the Design of Leading Line</w:t>
      </w:r>
    </w:p>
    <w:p w14:paraId="7A9FD49F" w14:textId="74010F60" w:rsidR="00F25BF4" w:rsidRPr="00687C41" w:rsidRDefault="00F25BF4" w:rsidP="004625A3">
      <w:pPr>
        <w:pStyle w:val="List1"/>
        <w:numPr>
          <w:ilvl w:val="0"/>
          <w:numId w:val="0"/>
        </w:numPr>
        <w:ind w:left="567"/>
        <w:rPr>
          <w:rFonts w:ascii="Calibri" w:hAnsi="Calibri"/>
        </w:rPr>
      </w:pPr>
    </w:p>
    <w:sectPr w:rsidR="00F25BF4" w:rsidRPr="00687C41" w:rsidSect="0082480E">
      <w:headerReference w:type="even" r:id="rId11"/>
      <w:headerReference w:type="default" r:id="rId12"/>
      <w:footerReference w:type="even" r:id="rId13"/>
      <w:footerReference w:type="default" r:id="rId14"/>
      <w:headerReference w:type="first" r:id="rId15"/>
      <w:footerReference w:type="first" r:id="rId16"/>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BAF0EF4" w14:textId="77777777" w:rsidR="00751AC8" w:rsidRDefault="00751AC8" w:rsidP="00362CD9">
      <w:r>
        <w:separator/>
      </w:r>
    </w:p>
  </w:endnote>
  <w:endnote w:type="continuationSeparator" w:id="0">
    <w:p w14:paraId="7FFDE4AD" w14:textId="77777777" w:rsidR="00751AC8" w:rsidRDefault="00751AC8"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Bold">
    <w:altName w:val="Arial"/>
    <w:panose1 w:val="020B0704020202020204"/>
    <w:charset w:val="00"/>
    <w:family w:val="auto"/>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1DCAD4" w14:textId="77777777" w:rsidR="00687C41" w:rsidRDefault="00687C4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F0EF88" w14:textId="77777777" w:rsidR="00362CD9" w:rsidRDefault="00362CD9">
    <w:pPr>
      <w:pStyle w:val="Footer"/>
    </w:pPr>
    <w:r>
      <w:tab/>
    </w:r>
    <w:r>
      <w:fldChar w:fldCharType="begin"/>
    </w:r>
    <w:r>
      <w:instrText xml:space="preserve"> PAGE   \* MERGEFORMAT </w:instrText>
    </w:r>
    <w:r>
      <w:fldChar w:fldCharType="separate"/>
    </w:r>
    <w:r w:rsidR="00367F7E">
      <w:rPr>
        <w:noProof/>
      </w:rPr>
      <w:t>3</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CBAEE2" w14:textId="77777777" w:rsidR="00687C41" w:rsidRDefault="00687C4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1407337" w14:textId="77777777" w:rsidR="00751AC8" w:rsidRDefault="00751AC8" w:rsidP="00362CD9">
      <w:r>
        <w:separator/>
      </w:r>
    </w:p>
  </w:footnote>
  <w:footnote w:type="continuationSeparator" w:id="0">
    <w:p w14:paraId="1DB8D2E2" w14:textId="77777777" w:rsidR="00751AC8" w:rsidRDefault="00751AC8" w:rsidP="00362CD9">
      <w:r>
        <w:continuationSeparator/>
      </w:r>
    </w:p>
  </w:footnote>
  <w:footnote w:id="1">
    <w:p w14:paraId="741FE09C" w14:textId="56CC54BF" w:rsidR="00420A38" w:rsidRPr="00EA5A97" w:rsidRDefault="00420A38">
      <w:pPr>
        <w:pStyle w:val="FootnoteText"/>
        <w:rPr>
          <w:lang w:val="en-US"/>
        </w:rPr>
      </w:pPr>
      <w:r>
        <w:rPr>
          <w:rStyle w:val="FootnoteReference"/>
        </w:rPr>
        <w:footnoteRef/>
      </w:r>
      <w:r>
        <w:t xml:space="preserve"> </w:t>
      </w:r>
      <w:r w:rsidR="00EA5A97" w:rsidRPr="00420A38">
        <w:rPr>
          <w:sz w:val="16"/>
          <w:szCs w:val="16"/>
        </w:rPr>
        <w:t>Input document number, to be assigned by the Committee Secretary</w:t>
      </w:r>
    </w:p>
  </w:footnote>
  <w:footnote w:id="2">
    <w:p w14:paraId="13DFA22D" w14:textId="3BCF7A71" w:rsidR="00037DF4" w:rsidRPr="00037DF4" w:rsidRDefault="00037DF4">
      <w:pPr>
        <w:pStyle w:val="FootnoteText"/>
      </w:pPr>
      <w:r w:rsidRPr="00037DF4">
        <w:rPr>
          <w:rStyle w:val="FootnoteReference"/>
        </w:rPr>
        <w:footnoteRef/>
      </w:r>
      <w:r w:rsidRPr="00037DF4">
        <w:t xml:space="preserve"> </w:t>
      </w:r>
      <w:r w:rsidRPr="00037DF4">
        <w:rPr>
          <w:sz w:val="16"/>
          <w:szCs w:val="16"/>
        </w:rPr>
        <w:t>Leave open if uncertain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CFB552" w14:textId="32D12383" w:rsidR="00687C41" w:rsidRDefault="00687C41">
    <w:pPr>
      <w:pStyle w:val="Header"/>
    </w:pPr>
    <w:r>
      <w:rPr>
        <w:noProof/>
      </w:rPr>
      <w:pict w14:anchorId="72EABFE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4194360" o:spid="_x0000_s2050" type="#_x0000_t136" style="position:absolute;margin-left:0;margin-top:0;width:613.25pt;height:66.15pt;rotation:315;z-index:-251655168;mso-position-horizontal:center;mso-position-horizontal-relative:margin;mso-position-vertical:center;mso-position-vertical-relative:margin" o:allowincell="f" fillcolor="silver" stroked="f">
          <v:fill opacity=".5"/>
          <v:textpath style="font-family:&quot;Arial&quot;;font-size:1pt" string="IALA working document"/>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D7850E" w14:textId="25E5000C" w:rsidR="00687C41" w:rsidRDefault="00687C41">
    <w:pPr>
      <w:pStyle w:val="Header"/>
    </w:pPr>
    <w:r>
      <w:rPr>
        <w:noProof/>
      </w:rPr>
      <w:pict w14:anchorId="163261F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4194361" o:spid="_x0000_s2051" type="#_x0000_t136" style="position:absolute;margin-left:0;margin-top:0;width:613.25pt;height:66.15pt;rotation:315;z-index:-251653120;mso-position-horizontal:center;mso-position-horizontal-relative:margin;mso-position-vertical:center;mso-position-vertical-relative:margin" o:allowincell="f" fillcolor="silver" stroked="f">
          <v:fill opacity=".5"/>
          <v:textpath style="font-family:&quot;Arial&quot;;font-size:1pt" string="IALA working document"/>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876A45" w14:textId="703A2879" w:rsidR="00687C41" w:rsidRDefault="00687C41">
    <w:pPr>
      <w:pStyle w:val="Header"/>
    </w:pPr>
    <w:r>
      <w:rPr>
        <w:noProof/>
      </w:rPr>
      <w:pict w14:anchorId="1684659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4194359" o:spid="_x0000_s2049" type="#_x0000_t136" style="position:absolute;margin-left:0;margin-top:0;width:613.25pt;height:66.15pt;rotation:315;z-index:-251657216;mso-position-horizontal:center;mso-position-horizontal-relative:margin;mso-position-vertical:center;mso-position-vertical-relative:margin" o:allowincell="f" fillcolor="silver" stroked="f">
          <v:fill opacity=".5"/>
          <v:textpath style="font-family:&quot;Arial&quot;;font-size:1pt" string="IALA working document"/>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F"/>
    <w:multiLevelType w:val="singleLevel"/>
    <w:tmpl w:val="6B700072"/>
    <w:lvl w:ilvl="0">
      <w:start w:val="1"/>
      <w:numFmt w:val="lowerRoman"/>
      <w:lvlText w:val="%1)"/>
      <w:lvlJc w:val="left"/>
      <w:pPr>
        <w:tabs>
          <w:tab w:val="num" w:pos="720"/>
        </w:tabs>
        <w:ind w:left="720" w:hanging="360"/>
      </w:pPr>
      <w:rPr>
        <w:rFonts w:hint="default"/>
      </w:rPr>
    </w:lvl>
  </w:abstractNum>
  <w:abstractNum w:abstractNumId="1">
    <w:nsid w:val="FFFFFF88"/>
    <w:multiLevelType w:val="singleLevel"/>
    <w:tmpl w:val="D4CAF136"/>
    <w:lvl w:ilvl="0">
      <w:start w:val="1"/>
      <w:numFmt w:val="lowerLetter"/>
      <w:lvlText w:val="%1)"/>
      <w:lvlJc w:val="left"/>
      <w:pPr>
        <w:tabs>
          <w:tab w:val="num" w:pos="360"/>
        </w:tabs>
        <w:ind w:left="360" w:hanging="360"/>
      </w:pPr>
    </w:lvl>
  </w:abstractNum>
  <w:abstractNum w:abstractNumId="2">
    <w:nsid w:val="03A21C71"/>
    <w:multiLevelType w:val="hybridMultilevel"/>
    <w:tmpl w:val="56B00160"/>
    <w:lvl w:ilvl="0" w:tplc="81E84170">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auto"/>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4">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19C37E91"/>
    <w:multiLevelType w:val="multilevel"/>
    <w:tmpl w:val="6E8A0554"/>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6">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8">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9">
    <w:nsid w:val="26D97EDE"/>
    <w:multiLevelType w:val="hybridMultilevel"/>
    <w:tmpl w:val="C84ED56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0">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3">
    <w:nsid w:val="40B4709F"/>
    <w:multiLevelType w:val="hybridMultilevel"/>
    <w:tmpl w:val="FB6280EA"/>
    <w:lvl w:ilvl="0" w:tplc="F00A79E2">
      <w:start w:val="1"/>
      <w:numFmt w:val="decimal"/>
      <w:lvlText w:val="%1)"/>
      <w:lvlJc w:val="left"/>
      <w:pPr>
        <w:ind w:left="720" w:hanging="360"/>
      </w:pPr>
      <w:rPr>
        <w:rFonts w:hint="default"/>
        <w:vertAlign w:val="superscrip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4">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8">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9">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1">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22">
    <w:nsid w:val="60585238"/>
    <w:multiLevelType w:val="multilevel"/>
    <w:tmpl w:val="98F0A0DE"/>
    <w:lvl w:ilvl="0">
      <w:start w:val="1"/>
      <w:numFmt w:val="upperLetter"/>
      <w:pStyle w:val="Annex"/>
      <w:lvlText w:val="ANNEX %1"/>
      <w:lvlJc w:val="left"/>
      <w:pPr>
        <w:ind w:left="360" w:hanging="360"/>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4">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abstractNumId w:val="1"/>
  </w:num>
  <w:num w:numId="2">
    <w:abstractNumId w:val="0"/>
  </w:num>
  <w:num w:numId="3">
    <w:abstractNumId w:val="7"/>
  </w:num>
  <w:num w:numId="4">
    <w:abstractNumId w:val="22"/>
  </w:num>
  <w:num w:numId="5">
    <w:abstractNumId w:val="16"/>
  </w:num>
  <w:num w:numId="6">
    <w:abstractNumId w:val="4"/>
  </w:num>
  <w:num w:numId="7">
    <w:abstractNumId w:val="24"/>
  </w:num>
  <w:num w:numId="8">
    <w:abstractNumId w:val="11"/>
  </w:num>
  <w:num w:numId="9">
    <w:abstractNumId w:val="8"/>
  </w:num>
  <w:num w:numId="10">
    <w:abstractNumId w:val="18"/>
  </w:num>
  <w:num w:numId="11">
    <w:abstractNumId w:val="17"/>
  </w:num>
  <w:num w:numId="12">
    <w:abstractNumId w:val="15"/>
  </w:num>
  <w:num w:numId="13">
    <w:abstractNumId w:val="23"/>
  </w:num>
  <w:num w:numId="14">
    <w:abstractNumId w:val="5"/>
  </w:num>
  <w:num w:numId="15">
    <w:abstractNumId w:val="25"/>
  </w:num>
  <w:num w:numId="16">
    <w:abstractNumId w:val="14"/>
  </w:num>
  <w:num w:numId="17">
    <w:abstractNumId w:val="6"/>
  </w:num>
  <w:num w:numId="18">
    <w:abstractNumId w:val="20"/>
  </w:num>
  <w:num w:numId="19">
    <w:abstractNumId w:val="14"/>
  </w:num>
  <w:num w:numId="20">
    <w:abstractNumId w:val="14"/>
  </w:num>
  <w:num w:numId="21">
    <w:abstractNumId w:val="14"/>
  </w:num>
  <w:num w:numId="22">
    <w:abstractNumId w:val="14"/>
  </w:num>
  <w:num w:numId="23">
    <w:abstractNumId w:val="21"/>
  </w:num>
  <w:num w:numId="24">
    <w:abstractNumId w:val="3"/>
  </w:num>
  <w:num w:numId="25">
    <w:abstractNumId w:val="3"/>
  </w:num>
  <w:num w:numId="26">
    <w:abstractNumId w:val="3"/>
  </w:num>
  <w:num w:numId="27">
    <w:abstractNumId w:val="10"/>
  </w:num>
  <w:num w:numId="28">
    <w:abstractNumId w:val="10"/>
  </w:num>
  <w:num w:numId="29">
    <w:abstractNumId w:val="10"/>
  </w:num>
  <w:num w:numId="30">
    <w:abstractNumId w:val="10"/>
  </w:num>
  <w:num w:numId="31">
    <w:abstractNumId w:val="10"/>
  </w:num>
  <w:num w:numId="32">
    <w:abstractNumId w:val="10"/>
  </w:num>
  <w:num w:numId="33">
    <w:abstractNumId w:val="19"/>
  </w:num>
  <w:num w:numId="34">
    <w:abstractNumId w:val="19"/>
  </w:num>
  <w:num w:numId="35">
    <w:abstractNumId w:val="19"/>
  </w:num>
  <w:num w:numId="36">
    <w:abstractNumId w:val="12"/>
  </w:num>
  <w:num w:numId="37">
    <w:abstractNumId w:val="5"/>
  </w:num>
  <w:num w:numId="38">
    <w:abstractNumId w:val="15"/>
  </w:num>
  <w:num w:numId="3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
  </w:num>
  <w:num w:numId="44">
    <w:abstractNumId w:val="13"/>
  </w:num>
  <w:num w:numId="45">
    <w:abstractNumId w:val="9"/>
  </w:num>
  <w:num w:numId="46">
    <w:abstractNumId w:val="17"/>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hyphenationZone w:val="425"/>
  <w:drawingGridHorizontalSpacing w:val="120"/>
  <w:displayHorizontalDrawingGridEvery w:val="2"/>
  <w:displayVerticalDrawingGridEvery w:val="2"/>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5674"/>
    <w:rsid w:val="000005D3"/>
    <w:rsid w:val="0001285B"/>
    <w:rsid w:val="00025D38"/>
    <w:rsid w:val="000365A4"/>
    <w:rsid w:val="00037DF4"/>
    <w:rsid w:val="0004700E"/>
    <w:rsid w:val="00047BF5"/>
    <w:rsid w:val="0006504D"/>
    <w:rsid w:val="00070C13"/>
    <w:rsid w:val="00080725"/>
    <w:rsid w:val="00084F33"/>
    <w:rsid w:val="00086309"/>
    <w:rsid w:val="000A77A7"/>
    <w:rsid w:val="000B1707"/>
    <w:rsid w:val="000C1B3E"/>
    <w:rsid w:val="000C1F62"/>
    <w:rsid w:val="000C3CD0"/>
    <w:rsid w:val="00110AE7"/>
    <w:rsid w:val="00126A2C"/>
    <w:rsid w:val="00171C96"/>
    <w:rsid w:val="00177F4D"/>
    <w:rsid w:val="00180DDA"/>
    <w:rsid w:val="0019583F"/>
    <w:rsid w:val="001B2A2D"/>
    <w:rsid w:val="001B737D"/>
    <w:rsid w:val="001C44A3"/>
    <w:rsid w:val="001E0E15"/>
    <w:rsid w:val="001F528A"/>
    <w:rsid w:val="001F704E"/>
    <w:rsid w:val="0020490A"/>
    <w:rsid w:val="002125B0"/>
    <w:rsid w:val="002322DC"/>
    <w:rsid w:val="00243228"/>
    <w:rsid w:val="00251483"/>
    <w:rsid w:val="00255CAA"/>
    <w:rsid w:val="00264305"/>
    <w:rsid w:val="002A0346"/>
    <w:rsid w:val="002A4487"/>
    <w:rsid w:val="002B49E9"/>
    <w:rsid w:val="002C632E"/>
    <w:rsid w:val="002D3E8B"/>
    <w:rsid w:val="002D4575"/>
    <w:rsid w:val="002D5C0C"/>
    <w:rsid w:val="002E03D1"/>
    <w:rsid w:val="002E6B74"/>
    <w:rsid w:val="002E6FCA"/>
    <w:rsid w:val="00323E06"/>
    <w:rsid w:val="00356CD0"/>
    <w:rsid w:val="00362CD9"/>
    <w:rsid w:val="00367F7E"/>
    <w:rsid w:val="003761CA"/>
    <w:rsid w:val="00380DAF"/>
    <w:rsid w:val="003B12BC"/>
    <w:rsid w:val="003B28F5"/>
    <w:rsid w:val="003B7B7D"/>
    <w:rsid w:val="003C54CB"/>
    <w:rsid w:val="003C7A2A"/>
    <w:rsid w:val="003D2DC1"/>
    <w:rsid w:val="003D69D0"/>
    <w:rsid w:val="003F0D4C"/>
    <w:rsid w:val="003F2918"/>
    <w:rsid w:val="003F3F75"/>
    <w:rsid w:val="003F430E"/>
    <w:rsid w:val="00407D92"/>
    <w:rsid w:val="0041088C"/>
    <w:rsid w:val="00420A38"/>
    <w:rsid w:val="00431B19"/>
    <w:rsid w:val="004625A3"/>
    <w:rsid w:val="004661AD"/>
    <w:rsid w:val="00490818"/>
    <w:rsid w:val="004D1D85"/>
    <w:rsid w:val="004D3C3A"/>
    <w:rsid w:val="004E1CD1"/>
    <w:rsid w:val="005107EB"/>
    <w:rsid w:val="00521345"/>
    <w:rsid w:val="00526DF0"/>
    <w:rsid w:val="00545CC4"/>
    <w:rsid w:val="00551FFF"/>
    <w:rsid w:val="005607A2"/>
    <w:rsid w:val="0057198B"/>
    <w:rsid w:val="005920DE"/>
    <w:rsid w:val="00597FAE"/>
    <w:rsid w:val="005B32A3"/>
    <w:rsid w:val="005C0D44"/>
    <w:rsid w:val="005C566C"/>
    <w:rsid w:val="005C7E69"/>
    <w:rsid w:val="005E262D"/>
    <w:rsid w:val="005F23D3"/>
    <w:rsid w:val="005F7E20"/>
    <w:rsid w:val="006153BB"/>
    <w:rsid w:val="0064293B"/>
    <w:rsid w:val="00662733"/>
    <w:rsid w:val="006652C3"/>
    <w:rsid w:val="00687C41"/>
    <w:rsid w:val="00691FD0"/>
    <w:rsid w:val="00692148"/>
    <w:rsid w:val="006C5948"/>
    <w:rsid w:val="006D4586"/>
    <w:rsid w:val="006F2A74"/>
    <w:rsid w:val="007118F5"/>
    <w:rsid w:val="00712AA4"/>
    <w:rsid w:val="007146C4"/>
    <w:rsid w:val="00721AA1"/>
    <w:rsid w:val="00724B67"/>
    <w:rsid w:val="00751AC8"/>
    <w:rsid w:val="007547F8"/>
    <w:rsid w:val="00765622"/>
    <w:rsid w:val="00770B6C"/>
    <w:rsid w:val="00783FEA"/>
    <w:rsid w:val="007D1D0D"/>
    <w:rsid w:val="007D37AF"/>
    <w:rsid w:val="0080294B"/>
    <w:rsid w:val="00822C6A"/>
    <w:rsid w:val="0082480E"/>
    <w:rsid w:val="008367C5"/>
    <w:rsid w:val="00850293"/>
    <w:rsid w:val="00851373"/>
    <w:rsid w:val="00851BA6"/>
    <w:rsid w:val="0085654D"/>
    <w:rsid w:val="00861160"/>
    <w:rsid w:val="0086654F"/>
    <w:rsid w:val="00897B53"/>
    <w:rsid w:val="008A356F"/>
    <w:rsid w:val="008A4653"/>
    <w:rsid w:val="008A4717"/>
    <w:rsid w:val="008A50CC"/>
    <w:rsid w:val="008C3701"/>
    <w:rsid w:val="008D1694"/>
    <w:rsid w:val="008D79CB"/>
    <w:rsid w:val="008E0333"/>
    <w:rsid w:val="008F07BC"/>
    <w:rsid w:val="0092692B"/>
    <w:rsid w:val="00943E9C"/>
    <w:rsid w:val="00945C17"/>
    <w:rsid w:val="00953F4D"/>
    <w:rsid w:val="00960BB8"/>
    <w:rsid w:val="00964F5C"/>
    <w:rsid w:val="009831C0"/>
    <w:rsid w:val="009A1D62"/>
    <w:rsid w:val="00A0389B"/>
    <w:rsid w:val="00A36457"/>
    <w:rsid w:val="00A446C9"/>
    <w:rsid w:val="00A635D6"/>
    <w:rsid w:val="00A8553A"/>
    <w:rsid w:val="00A93AED"/>
    <w:rsid w:val="00AE1319"/>
    <w:rsid w:val="00AE34BB"/>
    <w:rsid w:val="00B226F2"/>
    <w:rsid w:val="00B274DF"/>
    <w:rsid w:val="00B33813"/>
    <w:rsid w:val="00B56BDF"/>
    <w:rsid w:val="00B65812"/>
    <w:rsid w:val="00B80189"/>
    <w:rsid w:val="00B85CD6"/>
    <w:rsid w:val="00B90A27"/>
    <w:rsid w:val="00B9554D"/>
    <w:rsid w:val="00BB2B9F"/>
    <w:rsid w:val="00BB7D9E"/>
    <w:rsid w:val="00BD3CB8"/>
    <w:rsid w:val="00BD4E6F"/>
    <w:rsid w:val="00BF32F0"/>
    <w:rsid w:val="00BF4DCE"/>
    <w:rsid w:val="00C05CE5"/>
    <w:rsid w:val="00C110C1"/>
    <w:rsid w:val="00C15ED3"/>
    <w:rsid w:val="00C6171E"/>
    <w:rsid w:val="00CA6F2C"/>
    <w:rsid w:val="00CC5FEA"/>
    <w:rsid w:val="00CF1871"/>
    <w:rsid w:val="00D112D5"/>
    <w:rsid w:val="00D1133E"/>
    <w:rsid w:val="00D17A34"/>
    <w:rsid w:val="00D17F21"/>
    <w:rsid w:val="00D2654E"/>
    <w:rsid w:val="00D26628"/>
    <w:rsid w:val="00D332B3"/>
    <w:rsid w:val="00D55207"/>
    <w:rsid w:val="00D83873"/>
    <w:rsid w:val="00D92B45"/>
    <w:rsid w:val="00D95962"/>
    <w:rsid w:val="00DC389B"/>
    <w:rsid w:val="00DE2FEE"/>
    <w:rsid w:val="00E00BE9"/>
    <w:rsid w:val="00E0155D"/>
    <w:rsid w:val="00E22A11"/>
    <w:rsid w:val="00E31E5C"/>
    <w:rsid w:val="00E558C3"/>
    <w:rsid w:val="00E55927"/>
    <w:rsid w:val="00E912A6"/>
    <w:rsid w:val="00EA4844"/>
    <w:rsid w:val="00EA4D9C"/>
    <w:rsid w:val="00EA5A97"/>
    <w:rsid w:val="00EB75EE"/>
    <w:rsid w:val="00EE4C1D"/>
    <w:rsid w:val="00EF3685"/>
    <w:rsid w:val="00F159EB"/>
    <w:rsid w:val="00F25BF4"/>
    <w:rsid w:val="00F267DB"/>
    <w:rsid w:val="00F46F6F"/>
    <w:rsid w:val="00F50CAF"/>
    <w:rsid w:val="00F60608"/>
    <w:rsid w:val="00F62217"/>
    <w:rsid w:val="00FB17A9"/>
    <w:rsid w:val="00FB527C"/>
    <w:rsid w:val="00FB6F75"/>
    <w:rsid w:val="00FC0EB3"/>
    <w:rsid w:val="00FD675E"/>
    <w:rsid w:val="00FE5674"/>
    <w:rsid w:val="00FF144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2"/>
    <o:shapelayout v:ext="edit">
      <o:idmap v:ext="edit" data="1"/>
    </o:shapelayout>
  </w:shapeDefaults>
  <w:decimalSymbol w:val="."/>
  <w:listSeparator w:val=","/>
  <w14:docId w14:val="0DA6AA77"/>
  <w15:docId w15:val="{D18E6568-7E7B-4501-BD13-DA80BC2819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687C41"/>
    <w:pPr>
      <w:keepNext/>
      <w:numPr>
        <w:numId w:val="37"/>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rsid w:val="00687C41"/>
    <w:pPr>
      <w:numPr>
        <w:ilvl w:val="1"/>
        <w:numId w:val="37"/>
      </w:numPr>
      <w:spacing w:before="120" w:after="120"/>
      <w:outlineLvl w:val="1"/>
    </w:pPr>
    <w:rPr>
      <w:rFonts w:ascii="Calibri" w:hAnsi="Calibri"/>
      <w:b/>
      <w:color w:val="0070C0"/>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87C41"/>
    <w:rPr>
      <w:rFonts w:cs="Calibri"/>
      <w:b/>
      <w:caps/>
      <w:color w:val="0070C0"/>
      <w:kern w:val="28"/>
      <w:sz w:val="24"/>
      <w:szCs w:val="22"/>
      <w:lang w:eastAsia="de-DE"/>
    </w:rPr>
  </w:style>
  <w:style w:type="character" w:customStyle="1" w:styleId="Heading2Char">
    <w:name w:val="Heading 2 Char"/>
    <w:link w:val="Heading2"/>
    <w:rsid w:val="00687C41"/>
    <w:rPr>
      <w:rFonts w:cs="Calibri"/>
      <w:b/>
      <w:color w:val="0070C0"/>
      <w:sz w:val="22"/>
      <w:szCs w:val="22"/>
    </w:rPr>
  </w:style>
  <w:style w:type="paragraph" w:customStyle="1" w:styleId="Annex">
    <w:name w:val="Annex"/>
    <w:basedOn w:val="Heading1"/>
    <w:next w:val="Normal"/>
    <w:qFormat/>
    <w:rsid w:val="008D1694"/>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ppendix">
    <w:name w:val="Appendix"/>
    <w:basedOn w:val="Normal"/>
    <w:next w:val="Normal"/>
    <w:rsid w:val="002E6FCA"/>
    <w:pPr>
      <w:numPr>
        <w:numId w:val="43"/>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www2.liikennevirasto.fi/julkaisut/pdf3/lop_2013-02_vesivaylien_linjalaskennan_web.pdf"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4060B5-4C8E-4BF8-BABE-CBE4935308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646</Words>
  <Characters>3686</Characters>
  <Application>Microsoft Office Word</Application>
  <DocSecurity>0</DocSecurity>
  <Lines>30</Lines>
  <Paragraphs>8</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vector>
  </TitlesOfParts>
  <Company/>
  <LinksUpToDate>false</LinksUpToDate>
  <CharactersWithSpaces>4324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Seamus Doyle</cp:lastModifiedBy>
  <cp:revision>3</cp:revision>
  <dcterms:created xsi:type="dcterms:W3CDTF">2016-03-10T12:13:00Z</dcterms:created>
  <dcterms:modified xsi:type="dcterms:W3CDTF">2016-03-10T12:13:00Z</dcterms:modified>
</cp:coreProperties>
</file>